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pPr>
      <w:r>
        <w:rPr>
          <w:highlight w:val="white"/>
        </w:rPr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УСЛОВИЯ 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типового договора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об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 осуществлении технологического присоединения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  <w:highlight w:val="white"/>
          <w:lang w:eastAsia="ru-RU"/>
        </w:rPr>
        <w:t xml:space="preserve">к электрическим сетям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lang w:eastAsia="ru-RU"/>
        </w:rPr>
        <w:t xml:space="preserve">(в целях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lang w:eastAsia="ru-RU"/>
        </w:rPr>
        <w:t xml:space="preserve">технологического присоединения энергопринимающих устройств заявителей,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lang w:eastAsia="ru-RU"/>
        </w:rPr>
        <w:t xml:space="preserve">максимальная мощность которых составляет от 150 кВт до 670 кВт включительно)</w:t>
      </w:r>
      <w:r>
        <w:rPr>
          <w:rFonts w:ascii="Times New Roman" w:hAnsi="Times New Roman" w:eastAsia="Times New Roman" w:cs="Times New Roman"/>
          <w:bCs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bCs/>
          <w:highlight w:val="white"/>
          <w14:ligatures w14:val="non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white"/>
          <w14:ligatures w14:val="none"/>
        </w:rPr>
      </w:r>
    </w:p>
    <w:p>
      <w:pPr>
        <w:spacing w:after="0" w:line="240" w:lineRule="auto"/>
        <w:jc w:val="center"/>
        <w:rPr>
          <w:rFonts w:ascii="Verdana" w:hAnsi="Verdana" w:eastAsia="Times New Roman" w:cs="Times New Roman"/>
          <w:i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применяет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ся для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случаев технологического присоединения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заявите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лей, указанных в пункт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12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 Правил ТП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)</w:t>
      </w:r>
      <w:r>
        <w:rPr>
          <w:rFonts w:ascii="Verdana" w:hAnsi="Verdana" w:eastAsia="Times New Roman" w:cs="Times New Roman"/>
          <w:i/>
          <w:sz w:val="20"/>
          <w:szCs w:val="20"/>
          <w:highlight w:val="white"/>
        </w:rPr>
      </w:r>
      <w:r>
        <w:rPr>
          <w:rFonts w:ascii="Verdana" w:hAnsi="Verdana" w:eastAsia="Times New Roman" w:cs="Times New Roman"/>
          <w:i/>
          <w:sz w:val="20"/>
          <w:szCs w:val="20"/>
          <w:highlight w:val="white"/>
        </w:rPr>
      </w:r>
    </w:p>
    <w:p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г. 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12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spacing w:val="-2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кционерное общество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 Янтарь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(далее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 Янтарь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именуемое в дальнейшем «Сетевая организация», в лице 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действующего на основании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доверенности от _________ №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с одной стороны,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none"/>
          <w:lang w:eastAsia="ru-RU"/>
        </w:rPr>
      </w:r>
    </w:p>
    <w:p>
      <w:pPr>
        <w:spacing w:after="12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______ (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______)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, именуемый(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ая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) в дальнейшем «Заявитель», в лице ________, действующего на основании _____, ОГРН: _____, с другой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стороны, вместе именуемые «Стороны», заключили настоящий договор о нижеследующем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 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р. _______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паспорт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серия ____ № ______, дата выдачи: ______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кем выдан: _______</w:t>
      </w:r>
      <w:r>
        <w:rPr>
          <w:rFonts w:ascii="Times New Roman" w:hAnsi="Times New Roman" w:cs="Times New Roman"/>
          <w:spacing w:val="-2"/>
          <w:sz w:val="24"/>
          <w:szCs w:val="24"/>
          <w:highlight w:val="white"/>
        </w:rPr>
        <w:t xml:space="preserve">, ОГРНИП:</w:t>
      </w:r>
      <w:r>
        <w:rPr>
          <w:rFonts w:ascii="Times New Roman" w:hAnsi="Times New Roman" w:cs="Times New Roman"/>
          <w:spacing w:val="-2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pacing w:val="-2"/>
          <w:szCs w:val="24"/>
          <w:highlight w:val="white"/>
        </w:rPr>
        <w:t xml:space="preserve">_____,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 именуемый(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ая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) в дальнейшем «Заявитель» с другой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стороны, вместе именуемые «Стороны», заключили настоящий договор о нижеследующем</w:t>
      </w:r>
      <w:r>
        <w:rPr>
          <w:rStyle w:val="1504"/>
          <w:rFonts w:ascii="Times New Roman" w:hAnsi="Times New Roman" w:cs="Times New Roman"/>
          <w:sz w:val="24"/>
          <w:szCs w:val="24"/>
          <w:highlight w:val="white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left="0" w:right="0"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 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р. _______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паспорт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серия ____ № ______, дата выдачи: 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кем выдан: _______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, именуемый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highlight w:val="white"/>
          <w:lang w:eastAsia="ru-RU"/>
        </w:rPr>
        <w:t xml:space="preserve">(ая) в дальнейшем «Заявитель» с другой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стороны, вместе именуемые «Стороны», заключили настоящий договор о нижеследующем: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12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етевая организация принимает на себя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бязательства по осуществлению технологического присоединения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стройств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аявителя (далее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технологическое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присоединение 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(наименование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 устройств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</w:p>
    <w:p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том числе по обеспечению готовности объектов электросетевого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хозяйства (включая их проектирование, строительство, реконструкцию) 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присоединению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урегулированию отношений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третьими лицами в случае необходимости строительства (модернизации) такими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лицами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принадлежащих им объектов электросетевого хозяйства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устройств, объектов электроэнергетики), с учетом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следующих характеристик: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максимальная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мощность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</w:t>
      </w:r>
      <w:r>
        <w:rPr>
          <w:rStyle w:val="1504"/>
          <w:rFonts w:ascii="Times New Roman" w:hAnsi="Times New Roman"/>
          <w:sz w:val="24"/>
          <w:szCs w:val="24"/>
          <w:highlight w:val="white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_______ кВт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(из них: на 1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ервом) этапе – ___ кВт, на 2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тором) этапе – ___ кВт),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том числе: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5"/>
          <w:ilvl w:val="0"/>
        </w:numPr>
        <w:tabs>
          <w:tab w:val="left" w:pos="1418" w:leader="none"/>
        </w:tabs>
        <w:spacing w:after="0" w:line="240" w:lineRule="auto"/>
        <w:ind w:left="0" w:firstLine="993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максимальная мощность ранее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присоединенных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___ кВт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1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5"/>
          <w:ilvl w:val="0"/>
        </w:numPr>
        <w:tabs>
          <w:tab w:val="left" w:pos="1418" w:leader="none"/>
        </w:tabs>
        <w:spacing w:after="0" w:line="240" w:lineRule="auto"/>
        <w:ind w:left="0" w:firstLine="993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максимальная мощность вновь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присоединяемых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 ___ кВт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(из них: на 1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ервом) этапе – ___ кВт, на 2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тором) этапе – ___ кВт)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точки присоединения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точка 1 – ___________, точка 2 – ___________, из них: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7"/>
          <w:ilvl w:val="0"/>
        </w:numPr>
        <w:tabs>
          <w:tab w:val="left" w:pos="1418" w:leader="none"/>
        </w:tabs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1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ервом) этапе: точка 1 – ___________, точка 2 – ___________;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7"/>
          <w:ilvl w:val="0"/>
        </w:numPr>
        <w:tabs>
          <w:tab w:val="left" w:pos="1418" w:leader="none"/>
        </w:tabs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2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тором) этапе: точка 1 – ___________, точка 2 – ___________;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категория надежности электроснабжения: _______;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класс напряжения электрических сетей, к которым осуществляется технологическое присоединение: _______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кВ.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Заявитель обязуется оплатить расходы на технологическое присоединение в соответствии с условиями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об осуществлении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технологического присоединения к электрическим сетям (далее – Договор)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12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Технологическое присоединение необходимо для электроснабжения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__,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наименование объектов З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аявителя)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расположенных (которые будут располагаться)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 адресу: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after="0" w:line="240" w:lineRule="auto"/>
        <w:jc w:val="center"/>
        <w:rPr>
          <w:rFonts w:ascii="Courier New" w:hAnsi="Courier New" w:eastAsia="Times New Roman" w:cs="Courier New"/>
          <w:i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(место нахождения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объектов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аявителя)</w:t>
      </w:r>
      <w:r>
        <w:rPr>
          <w:rFonts w:ascii="Courier New" w:hAnsi="Courier New" w:eastAsia="Times New Roman" w:cs="Courier New"/>
          <w:i/>
          <w:sz w:val="20"/>
          <w:szCs w:val="20"/>
          <w:highlight w:val="white"/>
        </w:rPr>
      </w:r>
      <w:r>
        <w:rPr>
          <w:rFonts w:ascii="Courier New" w:hAnsi="Courier New" w:eastAsia="Times New Roman" w:cs="Courier New"/>
          <w:i/>
          <w:sz w:val="20"/>
          <w:szCs w:val="20"/>
          <w:highlight w:val="white"/>
        </w:rPr>
      </w:r>
    </w:p>
    <w:p>
      <w:pPr>
        <w:pStyle w:val="1505"/>
        <w:numPr>
          <w:numId w:val="12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Точка (точки) присоединения указана(ы) в технических условиях для присоединения к электрическим сетям (далее – Технические условия).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pStyle w:val="1505"/>
        <w:numPr>
          <w:numId w:val="12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highlight w:val="white"/>
        </w:rPr>
      </w:r>
      <w:hyperlink r:id="rId10" w:tooltip="https://login.consultant.ru/link/?rnd=0891564C9C0328A92842D316DEA91759&amp;req=doc&amp;base=LAW&amp;n=348441&amp;dst=1599&amp;fld=134&amp;date=02.10.2020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Технические условия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являются неотъемлемой частью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оговора.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spacing w:after="0" w:line="240" w:lineRule="auto"/>
        <w:ind w:firstLine="709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Срок действия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Технических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условий составляет ____ год (года/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лет)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со дня заключения настоящего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Договора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pStyle w:val="1505"/>
        <w:numPr>
          <w:numId w:val="12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1" w:name="p3851"/>
      <w:r>
        <w:rPr>
          <w:highlight w:val="white"/>
        </w:rPr>
      </w:r>
      <w:bookmarkEnd w:id="1"/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Срок выполнения мероприятий по технологическому присоединению составляет ___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со дня заключения настоящего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Договора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Обязанности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Сетевая организация обязуется: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надлежащим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образом исполнить обязательства по настоящему Договору, в том числе </w:t>
        <w:br/>
        <w:t xml:space="preserve">по выполнению возложенных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етевую организацию мероприятий по технологическому присоединению до точки присоединен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ия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энергопринимающих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устройств З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аявителя, а также урегулировать отношения с третьими лицами до границ участка, на котором расположены присоединяемы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энергопринимающие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устройства З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аявителя, указанные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ехнических условиях;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10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есяти) дней со дня уведомления Заявителем Сетевой организации </w:t>
        <w:br/>
        <w:t xml:space="preserve">о выполнении им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ехнических условий осуществить проверку выполнения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ехнических условий Заявителем, провести с участием Заявителя осмотр (обследование) присоединяемых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Заявителя,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составить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акт о выполнении технических условий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подписанн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усиленной квалифицированной электронной подписью уполномоченного лица Сетевой организации,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разместить в личном кабинете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аявителя,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 чем Сетевая организация не позднее окончания рабочего дня, в течении которого были составлены и размещены указан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ые документы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обязана уведомить Заявителя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принять участие в осмотре (обследовании) присоединяемых энергопринимающих устройств заявителя должностным лицом органа федерального государственного энергетического надзор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10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есяти)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рабочих дней со дня проведения осмотра (обследования), указанного в </w:t>
      </w:r>
      <w:hyperlink w:tooltip="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, провести с участием заявителя осмотр (обследование) присоединяемых энергопринимаю" w:anchor="P5920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абзаце </w:t>
        </w:r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втором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настоящего пункта, с соблюдением срока, установленного </w:t>
      </w:r>
      <w:hyperlink w:tooltip="    5.   Срок  выполнения  мероприятий  по  технологическому  присоединению" w:anchor="P5913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пунктом </w:t>
        </w:r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настоящего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оговора, осуществить фактическое присоединение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аявителя к электрическим сетям, фактический прием (подачу) напряжения и мощности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составить акт об осуществлении технологического присоединения,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подписанн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усиленной квалифицированной электронной подписью уполномоченного лица Сетевой организации,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разместить в личном кабинете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аявителя,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 чем Сетевая организация не позднее окончания рабочего дня, в течении которого были составлены и размещены указан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ые документы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обязана уведомить Заявителя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6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84"/>
          <w:ilvl w:val="0"/>
        </w:numPr>
        <w:tabs>
          <w:tab w:val="left" w:pos="993" w:leader="none"/>
        </w:tabs>
        <w:spacing w:after="0" w:line="240" w:lineRule="auto"/>
        <w:ind w:left="0"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30 (Тридцати) рабочи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дней со дня уведомления Заявителем о получении разрешения органа федерального государственного энергетического надзора в соответствии с Правилами выдачи разрешений на допуск в эксплуатацию энергопринимающих установок потребителей эле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утвержденными постановлением Правительства Российской Федерации от 30 января 2021 г. № 85 «Об утве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ок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о внесении изменений в некоторые акты Правительства Российской Федерации», на допуск в эксплуатацию объектов Заявителя с соблюдением срока, установленного пунктом 1.5 Договора,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осуществить фактическое присоединение энергопринимающих устройств Заявителя 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электрическим сетям, фактический прием (подачу) напряжения и мощности,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составить при участии заявителя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в форме электронного документа разместить в личном кабинете Заявителя акт об осуществлении технологического присоединения, подписанный усиленной квалиф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ицированной электронной подписью уполномоченного лица сетевой организации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7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709" w:leader="none"/>
        </w:tabs>
        <w:spacing w:after="0" w:line="240" w:lineRule="auto"/>
        <w:ind w:left="0" w:firstLine="0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2.2.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евая организация при невыполнении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Заявителем 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продлить срок действия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Технических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условий. При этом дополнительная плата не взимается.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709" w:leader="none"/>
        </w:tabs>
        <w:spacing w:after="0" w:line="240" w:lineRule="auto"/>
        <w:ind w:left="0" w:firstLine="0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2.3.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Заявитель обязуется: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709"/>
        <w:jc w:val="both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 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заявителя, указанной в технических услови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ях, за исключением урегулирования отношений с третьими лицами до границ участка, на котором расположены присоединяемые энергопринимающие устройства заявителя, указанные в технических условиях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после выполнения мероприятий по технологическому присоединению до точки присоединения энергопринимающих устройств Заявителя, указанной в Техни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еских условиях,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уведомить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Сетевую организацию о выполнении технических условий и представить копии разделов проектной документации, предусматривающих технические решения, обеспечивающие выполнение Технических условий, в том числе решения по схеме внешнего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лектроснабжения (схеме выдачи мощности объектов по производству электрической энергии), релейной защите и автоматике, телемеханике и связи, в случае если такая проектная документация не была представлена заявителем в Сетевую организацию до направления заяв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ителем в Сетевую организацию уведомления о выполнении технических условий (если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обязательной);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shd w:val="clear" w:color="ffffff" w:themeColor="background1" w:fill="ffffff" w:themeFill="background1"/>
          <w:lang w:eastAsia="ru-RU"/>
        </w:rPr>
        <w:t xml:space="preserve">принять участие в осмотр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shd w:val="clear" w:color="ffffff" w:themeColor="background1" w:fill="ffffff" w:themeFill="background1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(обследовании) присоединяемых энергопринимающих устройств Сетевой организацией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рассмотреть,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подписать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при наличии замечаний представить замечания к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 выполнении технических условий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не позднее 20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вадцати) рабочих дней со дня получения уведомления от Сетевой организации о составлении и размещении в личном кабинете Заявителя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акта о выполнении технических условий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righ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направить уведомление о готовности на ввод в эксплуатацию объектов в адрес органа федерального государственного энергетического надзора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14:ligatures w14:val="non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разместить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разрешение на допуск в эксплуатацию энергопринимающих установок потребителей в Личном кабинете Заявителя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19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после осуществления Сетевой организацией фактического присоединения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 Заявителя к электрическим сетям, фактического приема (подачи) напряжения и мощности подписать акт об осуществлении технологического присоединения либо представить мотивированный отказ от подписания в течение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20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вадцати)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рабочих дней со дня получения указанного акта 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етевой организации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надлежащим образом исполнять указанные в </w:t>
      </w:r>
      <w:hyperlink w:tooltip="III. Плата за технологическое присоединение" w:anchor="P5933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разделе III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настоящего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оговора обязательства по оплате расходов на технологическое присоединение;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4"/>
          <w:ilvl w:val="0"/>
        </w:numPr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уведомить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етевую организацию о направлении заявок в иные сетевые организации при технологическом присоединении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устройств, в отношении которых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применяется категория надежности электроснабжения, предусматривающая использование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                   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вух)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более источников электроснабжения.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</w:tabs>
        <w:spacing w:after="0" w:line="240" w:lineRule="auto"/>
        <w:ind w:left="0" w:firstLine="710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Заявитель вправе при невыполнении им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Технических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условий в согласованный срок и наличии на дату окончания срока их действия технической возможности технологического присоединения обратиться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Сетевую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организацию с просьбой о продлении срока действия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Технических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условий.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2" w:name="p3871"/>
      <w:r>
        <w:rPr>
          <w:highlight w:val="white"/>
        </w:rPr>
      </w:r>
      <w:bookmarkEnd w:id="2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Плата за технологическое присоединение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1505"/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 порядок расчетов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</w:tabs>
        <w:spacing w:after="0" w:line="240" w:lineRule="auto"/>
        <w:ind w:left="0" w:firstLine="710"/>
        <w:jc w:val="both"/>
        <w:rPr>
          <w:rFonts w:ascii="Times New Roman" w:hAnsi="Times New Roman" w:eastAsia="Times New Roman" w:cs="Times New Roman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Размер платы за технологическое присоединение определяется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_____</w:t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sz w:val="20"/>
          <w:szCs w:val="20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вид документа,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наименование органа исполнительной власти в области государственного регулирования тарифов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, реквизиты документа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i/>
          <w:sz w:val="20"/>
          <w:szCs w:val="20"/>
          <w:highlight w:val="white"/>
        </w:rPr>
      </w:r>
    </w:p>
    <w:p>
      <w:pPr>
        <w:tabs>
          <w:tab w:val="left" w:pos="284" w:leader="none"/>
        </w:tabs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составляет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: </w:t>
      </w:r>
      <w:r>
        <w:rPr>
          <w:rFonts w:ascii="Times New Roman" w:hAnsi="Times New Roman" w:cs="Times New Roman" w:eastAsiaTheme="minorEastAsia"/>
          <w:b/>
          <w:sz w:val="24"/>
          <w:szCs w:val="24"/>
          <w:highlight w:val="white"/>
        </w:rPr>
        <w:t xml:space="preserve">__ (Сумма прописью) рублей __ копеек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кроме того НДС 22 %</w:t>
      </w:r>
      <w:r>
        <w:rPr>
          <w:rFonts w:ascii="Times New Roman" w:hAnsi="Times New Roman" w:cs="Times New Roman" w:eastAsiaTheme="minorEastAsia"/>
          <w:b/>
          <w:sz w:val="24"/>
          <w:szCs w:val="24"/>
          <w:highlight w:val="white"/>
        </w:rPr>
        <w:t xml:space="preserve"> __ (Сумма прописью) рублей __ копеек</w:t>
      </w:r>
      <w:r>
        <w:rPr>
          <w:rFonts w:ascii="Times New Roman" w:hAnsi="Times New Roman" w:cs="Times New Roman" w:eastAsiaTheme="minorEastAsia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284" w:leader="none"/>
        </w:tabs>
        <w:spacing w:after="0" w:line="240" w:lineRule="auto"/>
        <w:ind w:left="0" w:right="0"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Итого с НДС: 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  <w:highlight w:val="white"/>
        </w:rPr>
        <w:t xml:space="preserve">__ (Сумма прописью) рублей __ копеек,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из них: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32"/>
          <w:ilvl w:val="0"/>
        </w:numPr>
        <w:tabs>
          <w:tab w:val="left" w:pos="284" w:leader="none"/>
          <w:tab w:val="left" w:pos="1276" w:leader="none"/>
          <w:tab w:val="left" w:pos="1418" w:leader="none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размер платы за технологическое присоединение по 1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ервому) этапу составляет: __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  <w:t xml:space="preserve">умма прописью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 рублей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__ копеек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кроме того НДС 22 %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__ (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умма прописью) рублей __ копеек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33"/>
          <w:ilvl w:val="0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размер платы за технологическое присоединение по 2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торому) этапу составляет: __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  <w:t xml:space="preserve">умма прописью</w:t>
      </w:r>
      <w:r>
        <w:rPr>
          <w:rFonts w:ascii="Times New Roman" w:hAnsi="Times New Roman" w:cs="Times New Roman"/>
          <w:sz w:val="24"/>
          <w:szCs w:val="24"/>
          <w:highlight w:val="white"/>
          <w:u w:val="none"/>
        </w:rPr>
        <w:t xml:space="preserve">)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рублей, кроме того НДС 22 %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__ (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</w:rPr>
        <w:t xml:space="preserve">умма прописью) рублей __ копеек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20"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</w:tabs>
        <w:spacing w:after="0" w:line="240" w:lineRule="auto"/>
        <w:ind w:left="0" w:firstLine="710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</w:rPr>
        <w:t xml:space="preserve"> Внесение платы за технологическое присоединение осуществляется заявителем  в   следующем порядке: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spacing w:after="0" w:line="24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а) 10 процентов платы за технологическое присоеинение вносятся в течение</w:t>
      </w:r>
      <w:r>
        <w:rPr>
          <w:rFonts w:ascii="Times New Roman" w:hAnsi="Times New Roman"/>
          <w:sz w:val="24"/>
          <w:szCs w:val="24"/>
        </w:rPr>
        <w:t xml:space="preserve"> 15 дней со дня выставления сетевой организацией счета;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б)</w:t>
      </w:r>
      <w:r>
        <w:rPr>
          <w:rFonts w:ascii="Times New Roman" w:hAnsi="Times New Roman"/>
          <w:sz w:val="24"/>
          <w:szCs w:val="24"/>
        </w:rPr>
        <w:t xml:space="preserve"> 30 процентов платы за технологическое присоединение вносятся в течение 60 дней со дня выставления сетевой организацией счета;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в) 60 процентов платы за технологическое присоединение вносятся в течение 180 дней со дня выставления сетевой организацией счета.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tabs>
          <w:tab w:val="left" w:pos="710" w:leader="none"/>
        </w:tabs>
        <w:spacing w:after="0" w:line="240" w:lineRule="auto"/>
        <w:ind w:left="360" w:firstLine="0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</w:tabs>
        <w:spacing w:after="0" w:line="240" w:lineRule="auto"/>
        <w:ind w:left="0" w:firstLine="710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Датой исполнения обязательства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оплате расходов на технологическое присоединение считается дата внесения денежных средств в кассу или на расчетный счет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Сетевой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организации.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Разграничение балансовой принадлежности электрических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сетей и эксплуатационной ответственности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Заявитель несет балансовую и эксплуатационную ответственность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 точки присоединения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 Заявителя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Условия изменения, расторжения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 ответственность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Настоящий Договор может быть изменен по письменному соглашению Сторон или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Настоящий Договор может быть расторгнут по требованию одной из Сторон по основаниям, предусмотренным Гражданским </w:t>
      </w:r>
      <w:hyperlink r:id="rId11" w:tooltip="https://login.consultant.ru/link/?rnd=0891564C9C0328A92842D316DEA91759&amp;req=doc&amp;base=LAW&amp;n=358825&amp;REFFIELD=134&amp;REFDST=1578&amp;REFDOC=348441&amp;REFBASE=LAW&amp;stat=refcode%3D16876%3Bindex%3D3898&amp;date=02.10.2020" w:history="1">
        <w:r>
          <w:rPr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кодексом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Заявитель вправе при нарушении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Сетевой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организацией указанных в настоящем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сроков технологического присоединения в одностороннем порядке расторгнуть настоящий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Нарушение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установленного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Договором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срока осуществления мероприятий по технологическом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 присоединению (в случае если 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ехническими условиями предусмотрен поэтапный ввод в работу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энергопринимающих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устройств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мероприятий, предусмотренных очередным этапом) на 12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(Двенадцать)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более месяцев при условии, что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Сетевой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организацией в полном объеме выполнены мероприятия по технологическому присоединению, срок осуществления которых по Договору наступает ранее указанного нарушенного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Заявителем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срока осуществления мероприятий по технологическому присоединению, может служить основанием для расторжения Договора по требованию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етевой организации по решению суда.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3" w:name="p3901"/>
      <w:r>
        <w:rPr>
          <w:highlight w:val="white"/>
        </w:rPr>
      </w:r>
      <w:bookmarkEnd w:id="3"/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Сторона, нарушившая срок осуществления мероприятий по технологическому присоединению, предусмотренный Дого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вором, обязана уплатить другой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тороне неустойку, равную 0,25 процента указанного общего размера платы за каждый день просрочки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неустойки, определенный в предусмотренном настоящим абзацем порядке, за год просрочки.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tabs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Сторона, нарушившая срок осуществления мероприятий по технологическому присоединению, предусмотренный Договором, обязана уплатить понесенные дру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гой Стороной Договора расходы в размере, определенном в судебном акте, связанные с необходимостью принудительного взыскания неустойки, предусмотренной абзацем первым или вторым настоящего пункта, в случае необоснованного уклонения либо отказа от ее уплаты.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 неисполнение или ненадлежащее исполнение обязательств по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оговору Стороны несут ответственность в соответствии 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оговору, если оно явилось следствием обстоятельств непреодолимой силы, возникших после подписания Сторонами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оговора и оказывающих непосредственное воздействие на выполнение Сторонами обязательств по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Verdana" w:hAnsi="Verdana" w:eastAsia="Times New Roman" w:cs="Times New Roman"/>
          <w:sz w:val="21"/>
          <w:szCs w:val="21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Споры, которые могут возникнуть при исполнении, изменении и расторжении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оговора, Стороны разрешают в соответствии с законодательством Российской Федерации.</w:t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  <w:r>
        <w:rPr>
          <w:rFonts w:ascii="Verdana" w:hAnsi="Verdana" w:eastAsia="Times New Roman" w:cs="Times New Roman"/>
          <w:sz w:val="21"/>
          <w:szCs w:val="21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0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Заключительные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505"/>
        <w:numPr>
          <w:numId w:val="23"/>
          <w:ilvl w:val="1"/>
        </w:numPr>
        <w:tabs>
          <w:tab w:val="left" w:pos="710" w:leader="none"/>
          <w:tab w:val="left" w:pos="993" w:leader="none"/>
        </w:tabs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оговор считается заключенным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со дня оплаты Заявителем счета на оплату технологического присоединения по Договору</w:t>
      </w:r>
      <w:r>
        <w:rPr>
          <w:rStyle w:val="1504"/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footnoteReference w:id="21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tabs>
          <w:tab w:val="left" w:pos="710" w:leader="none"/>
          <w:tab w:val="left" w:pos="993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5102" w:type="dxa"/>
        <w:tblLayout w:type="fixed"/>
        <w:tblLook w:val="0000" w:firstRow="0" w:lastRow="0" w:firstColumn="0" w:lastColumn="0" w:noHBand="0" w:noVBand="0"/>
      </w:tblPr>
      <w:tblGrid>
        <w:gridCol w:w="5102"/>
      </w:tblGrid>
      <w:tr>
        <w:trPr>
          <w:trHeight w:val="595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Сетевая организация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Наименование: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Россети Янтарь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Адрес (место нахождения)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Эл. почта: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ОГРН: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53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Банковские реквизиты: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Получатель: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Россети Янтарь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ОГРН получателя: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Банк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Р/счет: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К/счет: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БИК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Поставщик услуг: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2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_______________________________________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23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_______________</w:t>
            </w:r>
            <w:r>
              <w:rPr>
                <w:rStyle w:val="1504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ootnoteReference w:id="24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Факс: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______________</w:t>
            </w:r>
            <w:r>
              <w:rPr>
                <w:rStyle w:val="1504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ootnoteReference w:id="25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Эл. почта: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_______________</w:t>
            </w:r>
            <w:r>
              <w:rPr>
                <w:rStyle w:val="1504"/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ootnoteReference w:id="26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7802312751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20"/>
        </w:trPr>
        <w:tblPrEx/>
        <w:tc>
          <w:tcPr>
            <w:tcW w:w="5102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__________________</w:t>
            </w:r>
            <w:r>
              <w:rPr>
                <w:rStyle w:val="1504"/>
                <w:rFonts w:ascii="Times New Roman" w:hAnsi="Times New Roman" w:eastAsia="Times New Roman"/>
                <w:sz w:val="24"/>
                <w:szCs w:val="24"/>
                <w:lang w:eastAsia="ru-RU"/>
              </w:rPr>
              <w:footnoteReference w:id="27"/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sz w:val="2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"/>
          <w:szCs w:val="24"/>
          <w:lang w:eastAsia="ru-RU"/>
        </w:rPr>
      </w:r>
    </w:p>
    <w:tbl>
      <w:tblPr>
        <w:tblW w:w="51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283"/>
        <w:gridCol w:w="2405"/>
        <w:gridCol w:w="283"/>
      </w:tblGrid>
      <w:tr>
        <w:trPr>
          <w:trHeight w:val="288"/>
        </w:trPr>
        <w:tblPrEx/>
        <w:tc>
          <w:tcPr>
            <w:tcW w:w="5103" w:type="dxa"/>
            <w:gridSpan w:val="4"/>
            <w:noWrap w:val="false"/>
            <w:textDirection w:val="lrTb"/>
            <w:vAlign w:val="bottom"/>
          </w:tcPr>
          <w:p>
            <w:pPr>
              <w:pStyle w:val="1520"/>
              <w:spacing w:before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DOCVARIABLE  ДолжностьРуководителяСетОрг </w:instrText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 xml:space="preserve">Должность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1520"/>
              <w:spacing w:before="0"/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fldChar w:fldCharType="end"/>
            </w:r>
            <w:r>
              <w:rPr>
                <w:rStyle w:val="1504"/>
                <w:szCs w:val="24"/>
              </w:rPr>
              <w:footnoteReference w:id="28"/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rPr>
          <w:trHeight w:val="288"/>
        </w:trPr>
        <w:tblPrEx/>
        <w:tc>
          <w:tcPr>
            <w:tcW w:w="4820" w:type="dxa"/>
            <w:gridSpan w:val="3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1520"/>
              <w:spacing w:before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 xml:space="preserve">(</w:t>
            </w:r>
            <w:r>
              <w:rPr>
                <w:sz w:val="14"/>
                <w:szCs w:val="14"/>
                <w:lang w:val="en-US"/>
              </w:rPr>
              <w:t xml:space="preserve">должность</w:t>
            </w:r>
            <w:r>
              <w:rPr>
                <w:sz w:val="14"/>
                <w:szCs w:val="14"/>
                <w:lang w:val="en-US"/>
              </w:rPr>
              <w:t xml:space="preserve">)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283" w:type="dxa"/>
            <w:noWrap w:val="false"/>
            <w:textDirection w:val="lrTb"/>
          </w:tcPr>
          <w:p>
            <w:pPr>
              <w:pStyle w:val="1520"/>
              <w:spacing w:before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</w:tr>
      <w:tr>
        <w:trPr>
          <w:trHeight w:val="288"/>
        </w:trPr>
        <w:tblPrEx/>
        <w:tc>
          <w:tcPr>
            <w:tcW w:w="5103" w:type="dxa"/>
            <w:gridSpan w:val="4"/>
            <w:noWrap w:val="false"/>
            <w:textDirection w:val="lrTb"/>
          </w:tcPr>
          <w:p>
            <w:pPr>
              <w:pStyle w:val="1520"/>
              <w:spacing w:before="0"/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rPr>
          <w:trHeight w:val="288"/>
        </w:trPr>
        <w:tblPrEx/>
        <w:tc>
          <w:tcPr>
            <w:tcW w:w="4820" w:type="dxa"/>
            <w:gridSpan w:val="3"/>
            <w:noWrap w:val="false"/>
            <w:textDirection w:val="lrTb"/>
            <w:vAlign w:val="bottom"/>
          </w:tcPr>
          <w:p>
            <w:pPr>
              <w:pStyle w:val="1520"/>
              <w:spacing w:before="0"/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Ф.И.О.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83" w:type="dxa"/>
            <w:noWrap w:val="false"/>
            <w:textDirection w:val="lrTb"/>
            <w:vAlign w:val="bottom"/>
          </w:tcPr>
          <w:p>
            <w:pPr>
              <w:pStyle w:val="1520"/>
              <w:spacing w:before="0"/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rPr>
          <w:trHeight w:val="288"/>
        </w:trPr>
        <w:tblPrEx/>
        <w:tc>
          <w:tcPr>
            <w:tcW w:w="2132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tabs>
                <w:tab w:val="left" w:pos="0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(подпись)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</w:p>
        </w:tc>
        <w:tc>
          <w:tcPr>
            <w:tcW w:w="283" w:type="dxa"/>
            <w:noWrap w:val="false"/>
            <w:textDirection w:val="lrTb"/>
          </w:tcPr>
          <w:p>
            <w:pPr>
              <w:widowControl w:val="off"/>
              <w:tabs>
                <w:tab w:val="left" w:pos="0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</w:p>
        </w:tc>
        <w:tc>
          <w:tcPr>
            <w:tcW w:w="2405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tabs>
                <w:tab w:val="left" w:pos="0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(расшифровка)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</w:p>
        </w:tc>
        <w:tc>
          <w:tcPr>
            <w:tcW w:w="283" w:type="dxa"/>
            <w:noWrap w:val="false"/>
            <w:textDirection w:val="lrTb"/>
          </w:tcPr>
          <w:p>
            <w:pPr>
              <w:widowControl w:val="off"/>
              <w:tabs>
                <w:tab w:val="left" w:pos="0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</w:r>
          </w:p>
        </w:tc>
      </w:tr>
      <w:tr>
        <w:trPr>
          <w:trHeight w:val="288"/>
        </w:trPr>
        <w:tblPrEx/>
        <w:tc>
          <w:tcPr>
            <w:tcW w:w="5103" w:type="dxa"/>
            <w:gridSpan w:val="4"/>
            <w:noWrap w:val="false"/>
            <w:textDirection w:val="lrTb"/>
          </w:tcPr>
          <w:p>
            <w:pPr>
              <w:pStyle w:val="1516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«____»</w:t>
            </w:r>
            <w:r>
              <w:rPr>
                <w:sz w:val="24"/>
                <w:szCs w:val="24"/>
              </w:rPr>
              <w:t xml:space="preserve"> _________________ 20___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88"/>
        </w:trPr>
        <w:tblPrEx/>
        <w:tc>
          <w:tcPr>
            <w:tcW w:w="5103" w:type="dxa"/>
            <w:gridSpan w:val="4"/>
            <w:noWrap w:val="false"/>
            <w:textDirection w:val="lrTb"/>
          </w:tcPr>
          <w:p>
            <w:pPr>
              <w:pStyle w:val="1516"/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М.П.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</w:tr>
    </w:tbl>
    <w:p>
      <w:pPr>
        <w:tabs>
          <w:tab w:val="left" w:pos="710" w:leader="none"/>
          <w:tab w:val="left" w:pos="993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Wingdings">
    <w:panose1 w:val="05010000000000000000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2">
    <w:p>
      <w:pPr>
        <w:pStyle w:val="1501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Style w:val="1504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Правила технологического присоединения </w:t>
      </w:r>
      <w:r>
        <w:rPr>
          <w:rFonts w:ascii="Times New Roman" w:hAnsi="Times New Roman"/>
          <w:sz w:val="16"/>
          <w:szCs w:val="16"/>
        </w:rPr>
        <w:t xml:space="preserve">энергопринимающих</w:t>
      </w:r>
      <w:r>
        <w:rPr>
          <w:rFonts w:ascii="Times New Roman" w:hAnsi="Times New Roman"/>
          <w:sz w:val="16"/>
          <w:szCs w:val="16"/>
        </w:rPr>
        <w:t xml:space="preserve"> устройств потребителей электрической энергии, а также объектов по производству электрической энергии к электрическим сетям, утвержденны</w:t>
      </w:r>
      <w:r>
        <w:rPr>
          <w:rFonts w:ascii="Times New Roman" w:hAnsi="Times New Roman"/>
          <w:sz w:val="16"/>
          <w:szCs w:val="16"/>
        </w:rPr>
        <w:t xml:space="preserve">е</w:t>
      </w:r>
      <w:r>
        <w:rPr>
          <w:rFonts w:ascii="Times New Roman" w:hAnsi="Times New Roman"/>
          <w:sz w:val="16"/>
          <w:szCs w:val="16"/>
        </w:rPr>
        <w:t xml:space="preserve"> постановлением Правительства РФ от 27.12.2004 № 861.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</w:footnote>
  <w:footnote w:id="3">
    <w:p>
      <w:pPr>
        <w:pStyle w:val="1501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Style w:val="1504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Указывается наименование населенного пункта по месту нахождения структурного подразделения филиала</w:t>
      </w:r>
      <w:r>
        <w:rPr>
          <w:rFonts w:ascii="Times New Roman" w:hAnsi="Times New Roman"/>
          <w:sz w:val="16"/>
          <w:szCs w:val="16"/>
        </w:rPr>
        <w:t xml:space="preserve">/ ИА</w:t>
      </w:r>
      <w:r>
        <w:rPr>
          <w:rFonts w:ascii="Times New Roman" w:hAnsi="Times New Roman"/>
          <w:sz w:val="16"/>
          <w:szCs w:val="16"/>
        </w:rPr>
        <w:t xml:space="preserve"> ПАО «</w:t>
      </w:r>
      <w:r>
        <w:rPr>
          <w:rFonts w:ascii="Times New Roman" w:hAnsi="Times New Roman"/>
          <w:sz w:val="16"/>
          <w:szCs w:val="16"/>
        </w:rPr>
        <w:t xml:space="preserve">Р</w:t>
      </w:r>
      <w:r>
        <w:rPr>
          <w:rFonts w:ascii="Times New Roman" w:hAnsi="Times New Roman"/>
          <w:sz w:val="16"/>
          <w:szCs w:val="16"/>
        </w:rPr>
        <w:t xml:space="preserve">оссети</w:t>
      </w:r>
      <w:r>
        <w:rPr>
          <w:rFonts w:ascii="Times New Roman" w:hAnsi="Times New Roman"/>
          <w:sz w:val="16"/>
          <w:szCs w:val="16"/>
        </w:rPr>
        <w:t xml:space="preserve"> Северо-Запад»</w:t>
      </w:r>
      <w:r>
        <w:rPr>
          <w:rFonts w:ascii="Times New Roman" w:hAnsi="Times New Roman"/>
          <w:sz w:val="16"/>
          <w:szCs w:val="16"/>
        </w:rPr>
        <w:t xml:space="preserve">.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</w:footnote>
  <w:footnote w:id="4">
    <w:p>
      <w:pPr>
        <w:pStyle w:val="1501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Style w:val="1504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Указываются сведения о должностном лице, которое подписывает договор от имени ПАО «</w:t>
      </w:r>
      <w:r>
        <w:rPr>
          <w:rFonts w:ascii="Times New Roman" w:hAnsi="Times New Roman"/>
          <w:sz w:val="16"/>
          <w:szCs w:val="16"/>
        </w:rPr>
        <w:t xml:space="preserve">Россети</w:t>
      </w:r>
      <w:r>
        <w:rPr>
          <w:rFonts w:ascii="Times New Roman" w:hAnsi="Times New Roman"/>
          <w:sz w:val="16"/>
          <w:szCs w:val="16"/>
        </w:rPr>
        <w:t xml:space="preserve"> Северо-Запад».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</w:footnote>
  <w:footnote w:id="5">
    <w:p>
      <w:pPr>
        <w:pStyle w:val="1502"/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Указываются рекв</w:t>
      </w:r>
      <w:r>
        <w:rPr>
          <w:sz w:val="16"/>
          <w:szCs w:val="16"/>
        </w:rPr>
        <w:t xml:space="preserve">изиты доверенности должностного лица, которое подписывает договор от имени ПАО «</w:t>
      </w:r>
      <w:r>
        <w:rPr>
          <w:sz w:val="16"/>
          <w:szCs w:val="16"/>
        </w:rPr>
        <w:t xml:space="preserve">Россети</w:t>
      </w:r>
      <w:r>
        <w:rPr>
          <w:sz w:val="16"/>
          <w:szCs w:val="16"/>
        </w:rPr>
        <w:t xml:space="preserve"> Северо-Запад».</w:t>
      </w:r>
    </w:p>
  </w:footnote>
  <w:footnote w:id="6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полное и краткое наименование Заявителя.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7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Абзац указывается в случае, если на стороне Заявителя выступает юридическое лицо.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8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Абзац указывается в случае, если на стороне Заявителя выступает индивидуальный предприниматель.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9">
    <w:p>
      <w:pPr>
        <w:pStyle w:val="1502"/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Абзац указывается в случае, если на стороне Заявителя выступает</w:t>
      </w:r>
      <w:r>
        <w:rPr>
          <w:sz w:val="16"/>
          <w:szCs w:val="16"/>
        </w:rPr>
        <w:t xml:space="preserve"> физическо</w:t>
      </w:r>
      <w:r>
        <w:rPr>
          <w:sz w:val="16"/>
          <w:szCs w:val="16"/>
        </w:rPr>
        <w:t xml:space="preserve">е</w:t>
      </w:r>
      <w:r>
        <w:rPr>
          <w:sz w:val="16"/>
          <w:szCs w:val="16"/>
        </w:rPr>
        <w:t xml:space="preserve"> лиц</w:t>
      </w:r>
      <w:r>
        <w:rPr>
          <w:sz w:val="16"/>
          <w:szCs w:val="16"/>
        </w:rPr>
        <w:t xml:space="preserve">о</w:t>
      </w:r>
      <w:r>
        <w:rPr>
          <w:sz w:val="16"/>
          <w:szCs w:val="16"/>
        </w:rPr>
        <w:t xml:space="preserve">.</w:t>
      </w:r>
    </w:p>
  </w:footnote>
  <w:footnote w:id="10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Если в заявке указано поэтапное осуществление присоединения </w:t>
      </w:r>
      <w:r>
        <w:rPr>
          <w:sz w:val="16"/>
          <w:szCs w:val="16"/>
        </w:rPr>
        <w:t xml:space="preserve">энергопринимающих</w:t>
      </w:r>
      <w:r>
        <w:rPr>
          <w:sz w:val="16"/>
          <w:szCs w:val="16"/>
        </w:rPr>
        <w:t xml:space="preserve"> устройств к электрическим сетям, то максимальная мощность </w:t>
      </w:r>
      <w:r>
        <w:rPr>
          <w:sz w:val="16"/>
          <w:szCs w:val="16"/>
        </w:rPr>
        <w:t xml:space="preserve">энергопринимающих</w:t>
      </w:r>
      <w:r>
        <w:rPr>
          <w:sz w:val="16"/>
          <w:szCs w:val="16"/>
        </w:rPr>
        <w:t xml:space="preserve"> устройств указывается в соответствии с приведенными в заявке этапами.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1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Подлежит указанию, если </w:t>
      </w:r>
      <w:r>
        <w:rPr>
          <w:sz w:val="16"/>
          <w:szCs w:val="16"/>
        </w:rPr>
        <w:t xml:space="preserve">энергопринимающ</w:t>
      </w:r>
      <w:r>
        <w:rPr>
          <w:sz w:val="16"/>
          <w:szCs w:val="16"/>
        </w:rPr>
        <w:t xml:space="preserve">и</w:t>
      </w:r>
      <w:r>
        <w:rPr>
          <w:sz w:val="16"/>
          <w:szCs w:val="16"/>
        </w:rPr>
        <w:t xml:space="preserve">е</w:t>
      </w:r>
      <w:r>
        <w:rPr>
          <w:sz w:val="16"/>
          <w:szCs w:val="16"/>
        </w:rPr>
        <w:t xml:space="preserve"> устройств</w:t>
      </w:r>
      <w:r>
        <w:rPr>
          <w:sz w:val="16"/>
          <w:szCs w:val="16"/>
        </w:rPr>
        <w:t xml:space="preserve">а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З</w:t>
      </w:r>
      <w:r>
        <w:rPr>
          <w:sz w:val="16"/>
          <w:szCs w:val="16"/>
        </w:rPr>
        <w:t xml:space="preserve">аявителя</w:t>
      </w:r>
      <w:r>
        <w:rPr>
          <w:sz w:val="16"/>
          <w:szCs w:val="16"/>
        </w:rPr>
        <w:t xml:space="preserve"> ранее в надлежащем порядке были технологически присоединены,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и З</w:t>
      </w:r>
      <w:r>
        <w:rPr>
          <w:sz w:val="16"/>
          <w:szCs w:val="16"/>
        </w:rPr>
        <w:t xml:space="preserve">аявитель имеет документы, подтверждающие указанное технологическое присоединение и наличие ранее присоединенных в данной точке присоединения </w:t>
      </w:r>
      <w:r>
        <w:rPr>
          <w:sz w:val="16"/>
          <w:szCs w:val="16"/>
        </w:rPr>
        <w:t xml:space="preserve">энергопринимающих</w:t>
      </w:r>
      <w:r>
        <w:rPr>
          <w:sz w:val="16"/>
          <w:szCs w:val="16"/>
        </w:rPr>
        <w:t xml:space="preserve"> устройств</w:t>
      </w:r>
      <w:r>
        <w:rPr>
          <w:sz w:val="16"/>
          <w:szCs w:val="16"/>
        </w:rPr>
        <w:t xml:space="preserve">. В случае, если новое присоединение – указывается 0 кВт.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2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Срок дей</w:t>
      </w:r>
      <w:r>
        <w:rPr>
          <w:sz w:val="16"/>
          <w:szCs w:val="16"/>
          <w:highlight w:val="white"/>
        </w:rPr>
        <w:t xml:space="preserve">ствия Т</w:t>
      </w:r>
      <w:r>
        <w:rPr>
          <w:sz w:val="16"/>
          <w:szCs w:val="16"/>
          <w:highlight w:val="white"/>
        </w:rPr>
        <w:t xml:space="preserve">ехнических условий не может составлять менее 2 лет и более </w:t>
      </w:r>
      <w:r>
        <w:rPr>
          <w:sz w:val="16"/>
          <w:szCs w:val="16"/>
          <w:highlight w:val="white"/>
        </w:rPr>
        <w:t xml:space="preserve">6</w:t>
      </w:r>
      <w:r>
        <w:rPr>
          <w:sz w:val="16"/>
          <w:szCs w:val="16"/>
          <w:highlight w:val="white"/>
        </w:rPr>
        <w:t xml:space="preserve"> лет</w:t>
      </w:r>
      <w:r>
        <w:rPr>
          <w:sz w:val="16"/>
          <w:szCs w:val="16"/>
          <w:highlight w:val="white"/>
        </w:rPr>
        <w:t xml:space="preserve">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3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Срок осуществления мероприятий по технологическому присоединению </w:t>
      </w:r>
      <w:r>
        <w:rPr>
          <w:sz w:val="16"/>
          <w:szCs w:val="16"/>
          <w:highlight w:val="white"/>
        </w:rPr>
        <w:t xml:space="preserve">определяется в соответствии с</w:t>
      </w:r>
      <w:r>
        <w:rPr>
          <w:sz w:val="16"/>
          <w:szCs w:val="16"/>
          <w:highlight w:val="white"/>
        </w:rPr>
        <w:t xml:space="preserve"> подп. «б»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п. 16 Правил</w:t>
      </w:r>
      <w:r>
        <w:rPr>
          <w:sz w:val="16"/>
          <w:szCs w:val="16"/>
          <w:highlight w:val="white"/>
        </w:rPr>
        <w:t xml:space="preserve"> ТП</w:t>
      </w:r>
      <w:r>
        <w:rPr>
          <w:sz w:val="16"/>
          <w:szCs w:val="16"/>
          <w:highlight w:val="white"/>
        </w:rPr>
        <w:t xml:space="preserve">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4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В случае осуществления технологического присоединения по этапам, срок выполнения мероприятий по ТП указывается по каждому этапу в отдельности: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  <w:t xml:space="preserve">Срок выполнения Сторонами мероприятий по технологическому присоединению по договору составляет не более ____ месяцев </w:t>
      </w:r>
      <w:r>
        <w:rPr>
          <w:sz w:val="16"/>
          <w:szCs w:val="16"/>
          <w:highlight w:val="white"/>
        </w:rPr>
        <w:t xml:space="preserve">(года/лет)</w:t>
      </w:r>
      <w:r>
        <w:rPr>
          <w:sz w:val="16"/>
          <w:szCs w:val="16"/>
          <w:highlight w:val="white"/>
        </w:rPr>
        <w:t xml:space="preserve"> с даты заключения д</w:t>
      </w:r>
      <w:r>
        <w:rPr>
          <w:sz w:val="16"/>
          <w:szCs w:val="16"/>
          <w:highlight w:val="white"/>
        </w:rPr>
        <w:t xml:space="preserve">оговора</w:t>
      </w:r>
      <w:r>
        <w:rPr>
          <w:sz w:val="16"/>
          <w:szCs w:val="16"/>
          <w:highlight w:val="white"/>
        </w:rPr>
        <w:t xml:space="preserve">, в том числе: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pStyle w:val="1502"/>
        <w:numPr>
          <w:numId w:val="2"/>
          <w:ilvl w:val="0"/>
        </w:numPr>
        <w:ind w:left="567" w:hanging="283"/>
        <w:jc w:val="both"/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  <w:t xml:space="preserve">по 1 (первому) этапу – не более ____ месяцев </w:t>
      </w:r>
      <w:r>
        <w:rPr>
          <w:sz w:val="16"/>
          <w:szCs w:val="16"/>
          <w:highlight w:val="white"/>
        </w:rPr>
        <w:t xml:space="preserve">(года/лет)</w:t>
      </w:r>
      <w:r>
        <w:rPr>
          <w:sz w:val="16"/>
          <w:szCs w:val="16"/>
          <w:highlight w:val="white"/>
        </w:rPr>
        <w:t xml:space="preserve"> с даты заключения Договора;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pStyle w:val="1502"/>
        <w:numPr>
          <w:numId w:val="2"/>
          <w:ilvl w:val="0"/>
        </w:numPr>
        <w:ind w:left="567" w:hanging="283"/>
        <w:jc w:val="both"/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  <w:t xml:space="preserve">по 2 (второму) этапу – не более ____ месяцев </w:t>
      </w:r>
      <w:r>
        <w:rPr>
          <w:sz w:val="16"/>
          <w:szCs w:val="16"/>
          <w:highlight w:val="white"/>
        </w:rPr>
        <w:t xml:space="preserve">(года/лет)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с даты заключения Договора.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5">
    <w:p>
      <w:pPr>
        <w:pStyle w:val="1502"/>
        <w:contextualSpacing/>
        <w:jc w:val="both"/>
        <w:rPr>
          <w:sz w:val="16"/>
          <w:szCs w:val="16"/>
          <w:highlight w:val="white"/>
          <w14:ligatures w14:val="none"/>
        </w:rPr>
      </w:pPr>
      <w:r>
        <w:rPr>
          <w:rStyle w:val="1504"/>
          <w:highlight w:val="white"/>
        </w:rPr>
        <w:footnoteRef/>
      </w:r>
      <w:r>
        <w:rPr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Абзац указывается в случае, если в качестве Заяви</w:t>
      </w:r>
      <w:r>
        <w:rPr>
          <w:sz w:val="16"/>
          <w:szCs w:val="16"/>
          <w:highlight w:val="white"/>
        </w:rPr>
        <w:t xml:space="preserve">теля выступает лицо, </w:t>
      </w:r>
      <w:r>
        <w:rPr>
          <w:sz w:val="16"/>
          <w:szCs w:val="16"/>
          <w:highlight w:val="white"/>
        </w:rPr>
        <w:t xml:space="preserve">энергопринимающие</w:t>
      </w:r>
      <w:r>
        <w:rPr>
          <w:sz w:val="16"/>
          <w:szCs w:val="16"/>
          <w:highlight w:val="white"/>
        </w:rPr>
        <w:t xml:space="preserve"> устройства которого присоединяются к электрическим сетям на уровне </w:t>
      </w:r>
      <w:r>
        <w:rPr>
          <w:sz w:val="16"/>
          <w:szCs w:val="16"/>
          <w:highlight w:val="white"/>
        </w:rPr>
        <w:t xml:space="preserve">напряжения выше </w:t>
      </w:r>
      <w:r>
        <w:rPr>
          <w:sz w:val="16"/>
          <w:szCs w:val="16"/>
          <w:highlight w:val="white"/>
        </w:rPr>
        <w:t xml:space="preserve">20 </w:t>
      </w:r>
      <w:r>
        <w:rPr>
          <w:sz w:val="16"/>
          <w:szCs w:val="16"/>
          <w:highlight w:val="white"/>
        </w:rPr>
        <w:t xml:space="preserve">кВ</w:t>
      </w:r>
      <w:r>
        <w:rPr>
          <w:sz w:val="16"/>
          <w:szCs w:val="16"/>
          <w:highlight w:val="white"/>
        </w:rPr>
        <w:t xml:space="preserve"> по </w:t>
      </w:r>
      <w:r>
        <w:rPr>
          <w:sz w:val="16"/>
          <w:szCs w:val="16"/>
          <w:highlight w:val="white"/>
        </w:rPr>
        <w:t xml:space="preserve">третьей </w:t>
      </w:r>
      <w:r>
        <w:rPr>
          <w:sz w:val="16"/>
          <w:szCs w:val="16"/>
          <w:highlight w:val="white"/>
        </w:rPr>
        <w:t xml:space="preserve">категории надежности электроснабжения или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на любом уровне напряжения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по первой и второй категории надежности электроснабжения.</w:t>
      </w:r>
      <w:r>
        <w:rPr>
          <w:sz w:val="16"/>
          <w:szCs w:val="16"/>
          <w:highlight w:val="white"/>
          <w14:ligatures w14:val="none"/>
        </w:rPr>
      </w:r>
      <w:r>
        <w:rPr>
          <w:sz w:val="16"/>
          <w:szCs w:val="16"/>
          <w:highlight w:val="white"/>
          <w14:ligatures w14:val="none"/>
        </w:rPr>
      </w:r>
    </w:p>
  </w:footnote>
  <w:footnote w:id="16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Абзац указывается в случае, если в качестве Заяви</w:t>
      </w:r>
      <w:r>
        <w:rPr>
          <w:sz w:val="16"/>
          <w:szCs w:val="16"/>
          <w:highlight w:val="white"/>
        </w:rPr>
        <w:t xml:space="preserve">теля выступает лицо, </w:t>
      </w:r>
      <w:r>
        <w:rPr>
          <w:sz w:val="16"/>
          <w:szCs w:val="16"/>
          <w:highlight w:val="white"/>
        </w:rPr>
        <w:t xml:space="preserve">энергопринимающие</w:t>
      </w:r>
      <w:r>
        <w:rPr>
          <w:sz w:val="16"/>
          <w:szCs w:val="16"/>
          <w:highlight w:val="white"/>
        </w:rPr>
        <w:t xml:space="preserve"> устройства которого присоединяются к электрическим сетям классом напряжения до </w:t>
      </w:r>
      <w:r>
        <w:rPr>
          <w:sz w:val="16"/>
          <w:szCs w:val="16"/>
          <w:highlight w:val="white"/>
        </w:rPr>
        <w:t xml:space="preserve">20 </w:t>
      </w:r>
      <w:r>
        <w:rPr>
          <w:sz w:val="16"/>
          <w:szCs w:val="16"/>
          <w:highlight w:val="white"/>
        </w:rPr>
        <w:t xml:space="preserve">кВ</w:t>
      </w:r>
      <w:r>
        <w:rPr>
          <w:sz w:val="16"/>
          <w:szCs w:val="16"/>
          <w:highlight w:val="white"/>
        </w:rPr>
        <w:t xml:space="preserve"> включительно </w:t>
      </w:r>
      <w:r>
        <w:rPr>
          <w:sz w:val="16"/>
          <w:szCs w:val="16"/>
          <w:highlight w:val="white"/>
        </w:rPr>
        <w:t xml:space="preserve">по третьей категории надежности электроснабжения.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7">
    <w:p>
      <w:pPr>
        <w:pStyle w:val="1502"/>
        <w:contextualSpacing/>
        <w:jc w:val="both"/>
        <w:rPr>
          <w:sz w:val="16"/>
          <w:szCs w:val="16"/>
          <w:highlight w:val="white"/>
          <w14:ligatures w14:val="none"/>
        </w:rPr>
      </w:pPr>
      <w:r>
        <w:rPr>
          <w:rStyle w:val="1504"/>
          <w:highlight w:val="white"/>
        </w:rPr>
        <w:footnoteRef/>
      </w:r>
      <w:r>
        <w:rPr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Абзац указывается в случае, если в качестве Заяви</w:t>
      </w:r>
      <w:r>
        <w:rPr>
          <w:sz w:val="16"/>
          <w:szCs w:val="16"/>
          <w:highlight w:val="white"/>
        </w:rPr>
        <w:t xml:space="preserve">теля выступает лицо, </w:t>
      </w:r>
      <w:r>
        <w:rPr>
          <w:sz w:val="16"/>
          <w:szCs w:val="16"/>
          <w:highlight w:val="white"/>
        </w:rPr>
        <w:t xml:space="preserve">энергопринимающие</w:t>
      </w:r>
      <w:r>
        <w:rPr>
          <w:sz w:val="16"/>
          <w:szCs w:val="16"/>
          <w:highlight w:val="white"/>
        </w:rPr>
        <w:t xml:space="preserve"> устройства которого присоединяются к электрическим сетям на уровне </w:t>
      </w:r>
      <w:r>
        <w:rPr>
          <w:sz w:val="16"/>
          <w:szCs w:val="16"/>
          <w:highlight w:val="white"/>
        </w:rPr>
        <w:t xml:space="preserve">напряжения выше </w:t>
      </w:r>
      <w:r>
        <w:rPr>
          <w:sz w:val="16"/>
          <w:szCs w:val="16"/>
          <w:highlight w:val="white"/>
        </w:rPr>
        <w:t xml:space="preserve">20 </w:t>
      </w:r>
      <w:r>
        <w:rPr>
          <w:sz w:val="16"/>
          <w:szCs w:val="16"/>
          <w:highlight w:val="white"/>
        </w:rPr>
        <w:t xml:space="preserve">кВ</w:t>
      </w:r>
      <w:r>
        <w:rPr>
          <w:sz w:val="16"/>
          <w:szCs w:val="16"/>
          <w:highlight w:val="white"/>
        </w:rPr>
        <w:t xml:space="preserve"> по </w:t>
      </w:r>
      <w:r>
        <w:rPr>
          <w:sz w:val="16"/>
          <w:szCs w:val="16"/>
          <w:highlight w:val="white"/>
        </w:rPr>
        <w:t xml:space="preserve">третьей </w:t>
      </w:r>
      <w:r>
        <w:rPr>
          <w:sz w:val="16"/>
          <w:szCs w:val="16"/>
          <w:highlight w:val="white"/>
        </w:rPr>
        <w:t xml:space="preserve">категории надежности электроснабжения или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на любом уровне напряжения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по первой и второй категории надежности электроснабжения.</w:t>
      </w:r>
      <w:r>
        <w:rPr>
          <w:sz w:val="16"/>
          <w:szCs w:val="16"/>
          <w:highlight w:val="white"/>
          <w14:ligatures w14:val="none"/>
        </w:rPr>
      </w:r>
      <w:r>
        <w:rPr>
          <w:sz w:val="16"/>
          <w:szCs w:val="16"/>
          <w:highlight w:val="white"/>
          <w14:ligatures w14:val="none"/>
        </w:rPr>
      </w:r>
    </w:p>
    <w:p>
      <w:pPr>
        <w:pStyle w:val="150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</w:footnote>
  <w:footnote w:id="18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Абзац указывается в случае, если в качестве Заяви</w:t>
      </w:r>
      <w:r>
        <w:rPr>
          <w:sz w:val="16"/>
          <w:szCs w:val="16"/>
          <w:highlight w:val="white"/>
        </w:rPr>
        <w:t xml:space="preserve">теля выступает лицо, </w:t>
      </w:r>
      <w:r>
        <w:rPr>
          <w:sz w:val="16"/>
          <w:szCs w:val="16"/>
          <w:highlight w:val="white"/>
        </w:rPr>
        <w:t xml:space="preserve">энергопринимающие</w:t>
      </w:r>
      <w:r>
        <w:rPr>
          <w:sz w:val="16"/>
          <w:szCs w:val="16"/>
          <w:highlight w:val="white"/>
        </w:rPr>
        <w:t xml:space="preserve"> устройства которого присоединяются к электрическим сетям на уровне </w:t>
      </w:r>
      <w:r>
        <w:rPr>
          <w:sz w:val="16"/>
          <w:szCs w:val="16"/>
          <w:highlight w:val="white"/>
        </w:rPr>
        <w:t xml:space="preserve">напряжения до </w:t>
      </w:r>
      <w:r>
        <w:rPr>
          <w:sz w:val="16"/>
          <w:szCs w:val="16"/>
          <w:highlight w:val="white"/>
        </w:rPr>
        <w:t xml:space="preserve">20 </w:t>
      </w:r>
      <w:r>
        <w:rPr>
          <w:sz w:val="16"/>
          <w:szCs w:val="16"/>
          <w:highlight w:val="white"/>
        </w:rPr>
        <w:t xml:space="preserve">кВ</w:t>
      </w:r>
      <w:r>
        <w:rPr>
          <w:sz w:val="16"/>
          <w:szCs w:val="16"/>
          <w:highlight w:val="white"/>
        </w:rPr>
        <w:t xml:space="preserve"> по </w:t>
      </w:r>
      <w:r>
        <w:rPr>
          <w:sz w:val="16"/>
          <w:szCs w:val="16"/>
          <w:highlight w:val="white"/>
        </w:rPr>
        <w:t xml:space="preserve">третьей </w:t>
      </w:r>
      <w:r>
        <w:rPr>
          <w:sz w:val="16"/>
          <w:szCs w:val="16"/>
          <w:highlight w:val="white"/>
        </w:rPr>
        <w:t xml:space="preserve">категории надежности электроснабжения</w:t>
      </w:r>
      <w:r>
        <w:rPr>
          <w:sz w:val="16"/>
          <w:szCs w:val="16"/>
          <w:highlight w:val="white"/>
        </w:rPr>
        <w:t xml:space="preserve">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9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Абзац указывается в случае, если в качестве Заяви</w:t>
      </w:r>
      <w:r>
        <w:rPr>
          <w:sz w:val="16"/>
          <w:szCs w:val="16"/>
          <w:highlight w:val="white"/>
        </w:rPr>
        <w:t xml:space="preserve">теля выступает лицо, </w:t>
      </w:r>
      <w:r>
        <w:rPr>
          <w:sz w:val="16"/>
          <w:szCs w:val="16"/>
          <w:highlight w:val="white"/>
        </w:rPr>
        <w:t xml:space="preserve">энергопринимающие</w:t>
      </w:r>
      <w:r>
        <w:rPr>
          <w:sz w:val="16"/>
          <w:szCs w:val="16"/>
          <w:highlight w:val="white"/>
        </w:rPr>
        <w:t xml:space="preserve"> устройства которого присоединяются к электрическим сетям на уровне </w:t>
      </w:r>
      <w:r>
        <w:rPr>
          <w:sz w:val="16"/>
          <w:szCs w:val="16"/>
          <w:highlight w:val="white"/>
        </w:rPr>
        <w:t xml:space="preserve">напряжения выше </w:t>
      </w:r>
      <w:r>
        <w:rPr>
          <w:sz w:val="16"/>
          <w:szCs w:val="16"/>
          <w:highlight w:val="white"/>
        </w:rPr>
        <w:t xml:space="preserve">20 </w:t>
      </w:r>
      <w:r>
        <w:rPr>
          <w:sz w:val="16"/>
          <w:szCs w:val="16"/>
          <w:highlight w:val="white"/>
        </w:rPr>
        <w:t xml:space="preserve">кВ</w:t>
      </w:r>
      <w:r>
        <w:rPr>
          <w:sz w:val="16"/>
          <w:szCs w:val="16"/>
          <w:highlight w:val="white"/>
        </w:rPr>
        <w:t xml:space="preserve"> по </w:t>
      </w:r>
      <w:r>
        <w:rPr>
          <w:sz w:val="16"/>
          <w:szCs w:val="16"/>
          <w:highlight w:val="white"/>
        </w:rPr>
        <w:t xml:space="preserve">третьей </w:t>
      </w:r>
      <w:r>
        <w:rPr>
          <w:sz w:val="16"/>
          <w:szCs w:val="16"/>
          <w:highlight w:val="white"/>
        </w:rPr>
        <w:t xml:space="preserve">категории надежности электроснабжения или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на любом уровне напряжения</w:t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по первой и второй категории надежности электроснабжения.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20">
    <w:p>
      <w:pPr>
        <w:pStyle w:val="1502"/>
        <w:contextualSpacing/>
        <w:jc w:val="both"/>
        <w:rPr>
          <w:sz w:val="16"/>
          <w:szCs w:val="16"/>
          <w:highlight w:val="white"/>
        </w:rPr>
      </w:pPr>
      <w:r>
        <w:rPr>
          <w:rStyle w:val="1504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В случае поэтапного выполнения Договора в данном пункте приводится стоимость каждого этапа.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21">
    <w:p>
      <w:pPr>
        <w:pStyle w:val="1502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Полностью или в установленных Правилами ТП случаях частично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2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наименование филиала, заключающего договор от имени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3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почтовый адрес филиала, заключающего договор от имени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4">
    <w:p>
      <w:pPr>
        <w:pStyle w:val="1502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официальный номер телефона филиала (ПО/РЭС)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5">
    <w:p>
      <w:pPr>
        <w:pStyle w:val="1502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официальный номер факса филиала (ПО/РЭС)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6">
    <w:p>
      <w:pPr>
        <w:pStyle w:val="1502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официальный адрес электронной почты филиала (ПО/РЭС)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7">
    <w:p>
      <w:pPr>
        <w:pStyle w:val="1502"/>
        <w:contextualSpacing/>
        <w:jc w:val="both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КПП филиала, заключающего договор от имени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8">
    <w:p>
      <w:pPr>
        <w:pStyle w:val="1502"/>
        <w:rPr>
          <w:sz w:val="16"/>
          <w:szCs w:val="16"/>
        </w:rPr>
      </w:pPr>
      <w:r>
        <w:rPr>
          <w:rStyle w:val="1504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 или наименование филиала </w:t>
      </w:r>
      <w:r>
        <w:rPr>
          <w:sz w:val="16"/>
          <w:szCs w:val="16"/>
        </w:rPr>
        <w:t xml:space="preserve">АО</w:t>
      </w:r>
      <w:r>
        <w:rPr>
          <w:sz w:val="16"/>
          <w:szCs w:val="16"/>
        </w:rPr>
        <w:t xml:space="preserve"> «</w:t>
      </w:r>
      <w:r>
        <w:rPr>
          <w:sz w:val="16"/>
          <w:szCs w:val="16"/>
        </w:rPr>
        <w:t xml:space="preserve">Россети Янтарь</w:t>
      </w:r>
      <w:r>
        <w:rPr>
          <w:sz w:val="16"/>
          <w:szCs w:val="16"/>
        </w:rPr>
        <w:t xml:space="preserve">»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50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6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2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3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347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0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7" w:hanging="360"/>
      </w:pPr>
      <w:rPr>
        <w:rFonts w:hint="default" w:ascii="Wingdings" w:hAnsi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3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732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2"/>
  </w:num>
  <w:num w:numId="2">
    <w:abstractNumId w:val="2"/>
  </w:num>
  <w:num w:numId="3">
    <w:abstractNumId w:val="4"/>
  </w:num>
  <w:num w:numId="4">
    <w:abstractNumId w:val="40"/>
  </w:num>
  <w:num w:numId="5">
    <w:abstractNumId w:val="22"/>
  </w:num>
  <w:num w:numId="6">
    <w:abstractNumId w:val="23"/>
  </w:num>
  <w:num w:numId="7">
    <w:abstractNumId w:val="33"/>
  </w:num>
  <w:num w:numId="8">
    <w:abstractNumId w:val="31"/>
  </w:num>
  <w:num w:numId="9">
    <w:abstractNumId w:val="30"/>
  </w:num>
  <w:num w:numId="10">
    <w:abstractNumId w:val="34"/>
  </w:num>
  <w:num w:numId="11">
    <w:abstractNumId w:val="24"/>
  </w:num>
  <w:num w:numId="12">
    <w:abstractNumId w:val="16"/>
  </w:num>
  <w:num w:numId="13">
    <w:abstractNumId w:val="36"/>
  </w:num>
  <w:num w:numId="14">
    <w:abstractNumId w:val="15"/>
  </w:num>
  <w:num w:numId="15">
    <w:abstractNumId w:val="18"/>
  </w:num>
  <w:num w:numId="16">
    <w:abstractNumId w:val="12"/>
  </w:num>
  <w:num w:numId="17">
    <w:abstractNumId w:val="21"/>
  </w:num>
  <w:num w:numId="18">
    <w:abstractNumId w:val="44"/>
  </w:num>
  <w:num w:numId="19">
    <w:abstractNumId w:val="17"/>
  </w:num>
  <w:num w:numId="20">
    <w:abstractNumId w:val="6"/>
  </w:num>
  <w:num w:numId="21">
    <w:abstractNumId w:val="14"/>
  </w:num>
  <w:num w:numId="22">
    <w:abstractNumId w:val="10"/>
  </w:num>
  <w:num w:numId="23">
    <w:abstractNumId w:val="29"/>
  </w:num>
  <w:num w:numId="24">
    <w:abstractNumId w:val="11"/>
  </w:num>
  <w:num w:numId="25">
    <w:abstractNumId w:val="39"/>
  </w:num>
  <w:num w:numId="26">
    <w:abstractNumId w:val="8"/>
  </w:num>
  <w:num w:numId="27">
    <w:abstractNumId w:val="45"/>
  </w:num>
  <w:num w:numId="28">
    <w:abstractNumId w:val="25"/>
  </w:num>
  <w:num w:numId="29">
    <w:abstractNumId w:val="5"/>
  </w:num>
  <w:num w:numId="30">
    <w:abstractNumId w:val="38"/>
  </w:num>
  <w:num w:numId="31">
    <w:abstractNumId w:val="26"/>
  </w:num>
  <w:num w:numId="32">
    <w:abstractNumId w:val="19"/>
  </w:num>
  <w:num w:numId="33">
    <w:abstractNumId w:val="20"/>
  </w:num>
  <w:num w:numId="34">
    <w:abstractNumId w:val="37"/>
  </w:num>
  <w:num w:numId="35">
    <w:abstractNumId w:val="32"/>
  </w:num>
  <w:num w:numId="36">
    <w:abstractNumId w:val="13"/>
  </w:num>
  <w:num w:numId="37">
    <w:abstractNumId w:val="7"/>
  </w:num>
  <w:num w:numId="38">
    <w:abstractNumId w:val="35"/>
  </w:num>
  <w:num w:numId="39">
    <w:abstractNumId w:val="1"/>
  </w:num>
  <w:num w:numId="40">
    <w:abstractNumId w:val="41"/>
  </w:num>
  <w:num w:numId="41">
    <w:abstractNumId w:val="46"/>
  </w:num>
  <w:num w:numId="42">
    <w:abstractNumId w:val="9"/>
  </w:num>
  <w:num w:numId="43">
    <w:abstractNumId w:val="0"/>
  </w:num>
  <w:num w:numId="44">
    <w:abstractNumId w:val="3"/>
  </w:num>
  <w:num w:numId="45">
    <w:abstractNumId w:val="27"/>
  </w:num>
  <w:num w:numId="46">
    <w:abstractNumId w:val="28"/>
  </w:num>
  <w:num w:numId="47">
    <w:abstractNumId w:val="43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21">
    <w:name w:val="Heading 1"/>
    <w:basedOn w:val="1494"/>
    <w:next w:val="1494"/>
    <w:link w:val="132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22">
    <w:name w:val="Heading 1 Char"/>
    <w:basedOn w:val="1495"/>
    <w:link w:val="1321"/>
    <w:uiPriority w:val="9"/>
    <w:rPr>
      <w:rFonts w:ascii="Arial" w:hAnsi="Arial" w:eastAsia="Arial" w:cs="Arial"/>
      <w:sz w:val="40"/>
      <w:szCs w:val="40"/>
    </w:rPr>
  </w:style>
  <w:style w:type="paragraph" w:styleId="1323">
    <w:name w:val="Heading 2"/>
    <w:basedOn w:val="1494"/>
    <w:next w:val="1494"/>
    <w:link w:val="1324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324">
    <w:name w:val="Heading 2 Char"/>
    <w:basedOn w:val="1495"/>
    <w:link w:val="1323"/>
    <w:uiPriority w:val="9"/>
    <w:rPr>
      <w:rFonts w:ascii="Arial" w:hAnsi="Arial" w:eastAsia="Arial" w:cs="Arial"/>
      <w:sz w:val="34"/>
    </w:rPr>
  </w:style>
  <w:style w:type="paragraph" w:styleId="1325">
    <w:name w:val="Heading 3"/>
    <w:basedOn w:val="1494"/>
    <w:next w:val="1494"/>
    <w:link w:val="1326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326">
    <w:name w:val="Heading 3 Char"/>
    <w:basedOn w:val="1495"/>
    <w:link w:val="1325"/>
    <w:uiPriority w:val="9"/>
    <w:rPr>
      <w:rFonts w:ascii="Arial" w:hAnsi="Arial" w:eastAsia="Arial" w:cs="Arial"/>
      <w:sz w:val="30"/>
      <w:szCs w:val="30"/>
    </w:rPr>
  </w:style>
  <w:style w:type="paragraph" w:styleId="1327">
    <w:name w:val="Heading 4"/>
    <w:basedOn w:val="1494"/>
    <w:next w:val="1494"/>
    <w:link w:val="1328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328">
    <w:name w:val="Heading 4 Char"/>
    <w:basedOn w:val="1495"/>
    <w:link w:val="1327"/>
    <w:uiPriority w:val="9"/>
    <w:rPr>
      <w:rFonts w:ascii="Arial" w:hAnsi="Arial" w:eastAsia="Arial" w:cs="Arial"/>
      <w:b/>
      <w:bCs/>
      <w:sz w:val="26"/>
      <w:szCs w:val="26"/>
    </w:rPr>
  </w:style>
  <w:style w:type="paragraph" w:styleId="1329">
    <w:name w:val="Heading 5"/>
    <w:basedOn w:val="1494"/>
    <w:next w:val="1494"/>
    <w:link w:val="133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330">
    <w:name w:val="Heading 5 Char"/>
    <w:basedOn w:val="1495"/>
    <w:link w:val="1329"/>
    <w:uiPriority w:val="9"/>
    <w:rPr>
      <w:rFonts w:ascii="Arial" w:hAnsi="Arial" w:eastAsia="Arial" w:cs="Arial"/>
      <w:b/>
      <w:bCs/>
      <w:sz w:val="24"/>
      <w:szCs w:val="24"/>
    </w:rPr>
  </w:style>
  <w:style w:type="paragraph" w:styleId="1331">
    <w:name w:val="Heading 6"/>
    <w:basedOn w:val="1494"/>
    <w:next w:val="1494"/>
    <w:link w:val="133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332">
    <w:name w:val="Heading 6 Char"/>
    <w:basedOn w:val="1495"/>
    <w:link w:val="1331"/>
    <w:uiPriority w:val="9"/>
    <w:rPr>
      <w:rFonts w:ascii="Arial" w:hAnsi="Arial" w:eastAsia="Arial" w:cs="Arial"/>
      <w:b/>
      <w:bCs/>
      <w:sz w:val="22"/>
      <w:szCs w:val="22"/>
    </w:rPr>
  </w:style>
  <w:style w:type="paragraph" w:styleId="1333">
    <w:name w:val="Heading 7"/>
    <w:basedOn w:val="1494"/>
    <w:next w:val="1494"/>
    <w:link w:val="133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334">
    <w:name w:val="Heading 7 Char"/>
    <w:basedOn w:val="1495"/>
    <w:link w:val="13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335">
    <w:name w:val="Heading 8"/>
    <w:basedOn w:val="1494"/>
    <w:next w:val="1494"/>
    <w:link w:val="133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336">
    <w:name w:val="Heading 8 Char"/>
    <w:basedOn w:val="1495"/>
    <w:link w:val="1335"/>
    <w:uiPriority w:val="9"/>
    <w:rPr>
      <w:rFonts w:ascii="Arial" w:hAnsi="Arial" w:eastAsia="Arial" w:cs="Arial"/>
      <w:i/>
      <w:iCs/>
      <w:sz w:val="22"/>
      <w:szCs w:val="22"/>
    </w:rPr>
  </w:style>
  <w:style w:type="paragraph" w:styleId="1337">
    <w:name w:val="Heading 9"/>
    <w:basedOn w:val="1494"/>
    <w:next w:val="1494"/>
    <w:link w:val="133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338">
    <w:name w:val="Heading 9 Char"/>
    <w:basedOn w:val="1495"/>
    <w:link w:val="1337"/>
    <w:uiPriority w:val="9"/>
    <w:rPr>
      <w:rFonts w:ascii="Arial" w:hAnsi="Arial" w:eastAsia="Arial" w:cs="Arial"/>
      <w:i/>
      <w:iCs/>
      <w:sz w:val="21"/>
      <w:szCs w:val="21"/>
    </w:rPr>
  </w:style>
  <w:style w:type="paragraph" w:styleId="1339">
    <w:name w:val="Title"/>
    <w:basedOn w:val="1494"/>
    <w:next w:val="1494"/>
    <w:link w:val="134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1340">
    <w:name w:val="Title Char"/>
    <w:basedOn w:val="1495"/>
    <w:link w:val="1339"/>
    <w:uiPriority w:val="10"/>
    <w:rPr>
      <w:sz w:val="48"/>
      <w:szCs w:val="48"/>
    </w:rPr>
  </w:style>
  <w:style w:type="paragraph" w:styleId="1341">
    <w:name w:val="Subtitle"/>
    <w:basedOn w:val="1494"/>
    <w:next w:val="1494"/>
    <w:link w:val="1342"/>
    <w:uiPriority w:val="11"/>
    <w:qFormat/>
    <w:pPr>
      <w:spacing w:before="200" w:after="200"/>
    </w:pPr>
    <w:rPr>
      <w:sz w:val="24"/>
      <w:szCs w:val="24"/>
    </w:rPr>
  </w:style>
  <w:style w:type="character" w:styleId="1342">
    <w:name w:val="Subtitle Char"/>
    <w:basedOn w:val="1495"/>
    <w:link w:val="1341"/>
    <w:uiPriority w:val="11"/>
    <w:rPr>
      <w:sz w:val="24"/>
      <w:szCs w:val="24"/>
    </w:rPr>
  </w:style>
  <w:style w:type="paragraph" w:styleId="1343">
    <w:name w:val="Quote"/>
    <w:basedOn w:val="1494"/>
    <w:next w:val="1494"/>
    <w:link w:val="1344"/>
    <w:uiPriority w:val="29"/>
    <w:qFormat/>
    <w:pPr>
      <w:ind w:left="720" w:right="720"/>
    </w:pPr>
    <w:rPr>
      <w:i/>
    </w:rPr>
  </w:style>
  <w:style w:type="character" w:styleId="1344">
    <w:name w:val="Quote Char"/>
    <w:link w:val="1343"/>
    <w:uiPriority w:val="29"/>
    <w:rPr>
      <w:i/>
    </w:rPr>
  </w:style>
  <w:style w:type="paragraph" w:styleId="1345">
    <w:name w:val="Intense Quote"/>
    <w:basedOn w:val="1494"/>
    <w:next w:val="1494"/>
    <w:link w:val="134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1346">
    <w:name w:val="Intense Quote Char"/>
    <w:link w:val="1345"/>
    <w:uiPriority w:val="30"/>
    <w:rPr>
      <w:i/>
    </w:rPr>
  </w:style>
  <w:style w:type="paragraph" w:styleId="1347">
    <w:name w:val="Header"/>
    <w:basedOn w:val="1494"/>
    <w:link w:val="134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1348">
    <w:name w:val="Header Char"/>
    <w:basedOn w:val="1495"/>
    <w:link w:val="1347"/>
    <w:uiPriority w:val="99"/>
  </w:style>
  <w:style w:type="paragraph" w:styleId="1349">
    <w:name w:val="Footer"/>
    <w:basedOn w:val="1494"/>
    <w:link w:val="135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1350">
    <w:name w:val="Footer Char"/>
    <w:basedOn w:val="1495"/>
    <w:link w:val="1349"/>
    <w:uiPriority w:val="99"/>
  </w:style>
  <w:style w:type="paragraph" w:styleId="1351">
    <w:name w:val="Caption"/>
    <w:basedOn w:val="1494"/>
    <w:next w:val="1494"/>
    <w:link w:val="13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352">
    <w:name w:val="Caption Char"/>
    <w:basedOn w:val="1495"/>
    <w:link w:val="1351"/>
    <w:uiPriority w:val="35"/>
    <w:rPr>
      <w:b/>
      <w:bCs/>
      <w:color w:val="4f81bd" w:themeColor="accent1"/>
      <w:sz w:val="18"/>
      <w:szCs w:val="18"/>
    </w:rPr>
  </w:style>
  <w:style w:type="table" w:styleId="1353">
    <w:name w:val="Table Grid"/>
    <w:basedOn w:val="149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4">
    <w:name w:val="Table Grid Light"/>
    <w:basedOn w:val="14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5">
    <w:name w:val="Plain Table 1"/>
    <w:basedOn w:val="14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56">
    <w:name w:val="Plain Table 2"/>
    <w:basedOn w:val="14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57">
    <w:name w:val="Plain Table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58">
    <w:name w:val="Plain Table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9">
    <w:name w:val="Plain Table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60">
    <w:name w:val="Grid Table 1 Light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1">
    <w:name w:val="Grid Table 1 Light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2">
    <w:name w:val="Grid Table 1 Light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3">
    <w:name w:val="Grid Table 1 Light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4">
    <w:name w:val="Grid Table 1 Light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5">
    <w:name w:val="Grid Table 1 Light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6">
    <w:name w:val="Grid Table 1 Light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7">
    <w:name w:val="Grid Table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68">
    <w:name w:val="Grid Table 2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69">
    <w:name w:val="Grid Table 2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0">
    <w:name w:val="Grid Table 2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1">
    <w:name w:val="Grid Table 2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2">
    <w:name w:val="Grid Table 2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3">
    <w:name w:val="Grid Table 2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4">
    <w:name w:val="Grid Table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5">
    <w:name w:val="Grid Table 3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6">
    <w:name w:val="Grid Table 3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7">
    <w:name w:val="Grid Table 3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8">
    <w:name w:val="Grid Table 3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79">
    <w:name w:val="Grid Table 3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80">
    <w:name w:val="Grid Table 3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381">
    <w:name w:val="Grid Table 4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82">
    <w:name w:val="Grid Table 4 - Accent 1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83">
    <w:name w:val="Grid Table 4 - Accent 2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84">
    <w:name w:val="Grid Table 4 - Accent 3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85">
    <w:name w:val="Grid Table 4 - Accent 4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86">
    <w:name w:val="Grid Table 4 - Accent 5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87">
    <w:name w:val="Grid Table 4 - Accent 6"/>
    <w:basedOn w:val="14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88">
    <w:name w:val="Grid Table 5 Dark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1389">
    <w:name w:val="Grid Table 5 Dark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1390">
    <w:name w:val="Grid Table 5 Dark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1391">
    <w:name w:val="Grid Table 5 Dark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1392">
    <w:name w:val="Grid Table 5 Dark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1393">
    <w:name w:val="Grid Table 5 Dark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1394">
    <w:name w:val="Grid Table 5 Dark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1395">
    <w:name w:val="Grid Table 6 Colorful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396">
    <w:name w:val="Grid Table 6 Colorful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397">
    <w:name w:val="Grid Table 6 Colorful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398">
    <w:name w:val="Grid Table 6 Colorful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399">
    <w:name w:val="Grid Table 6 Colorful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00">
    <w:name w:val="Grid Table 6 Colorful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01">
    <w:name w:val="Grid Table 6 Colorful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02">
    <w:name w:val="Grid Table 7 Colorful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3">
    <w:name w:val="Grid Table 7 Colorful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4">
    <w:name w:val="Grid Table 7 Colorful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5">
    <w:name w:val="Grid Table 7 Colorful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6">
    <w:name w:val="Grid Table 7 Colorful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7">
    <w:name w:val="Grid Table 7 Colorful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8">
    <w:name w:val="Grid Table 7 Colorful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1409">
    <w:name w:val="List Table 1 Light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0">
    <w:name w:val="List Table 1 Light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1">
    <w:name w:val="List Table 1 Light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2">
    <w:name w:val="List Table 1 Light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3">
    <w:name w:val="List Table 1 Light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4">
    <w:name w:val="List Table 1 Light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5">
    <w:name w:val="List Table 1 Light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6">
    <w:name w:val="List Table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17">
    <w:name w:val="List Table 2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18">
    <w:name w:val="List Table 2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19">
    <w:name w:val="List Table 2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20">
    <w:name w:val="List Table 2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21">
    <w:name w:val="List Table 2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22">
    <w:name w:val="List Table 2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23">
    <w:name w:val="List Table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4">
    <w:name w:val="List Table 3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5">
    <w:name w:val="List Table 3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6">
    <w:name w:val="List Table 3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7">
    <w:name w:val="List Table 3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8">
    <w:name w:val="List Table 3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9">
    <w:name w:val="List Table 3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0">
    <w:name w:val="List Table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1">
    <w:name w:val="List Table 4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2">
    <w:name w:val="List Table 4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3">
    <w:name w:val="List Table 4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List Table 4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List Table 4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6">
    <w:name w:val="List Table 4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7">
    <w:name w:val="List Table 5 Dark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38">
    <w:name w:val="List Table 5 Dark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39">
    <w:name w:val="List Table 5 Dark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0">
    <w:name w:val="List Table 5 Dark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1">
    <w:name w:val="List Table 5 Dark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2">
    <w:name w:val="List Table 5 Dark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3">
    <w:name w:val="List Table 5 Dark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4">
    <w:name w:val="List Table 6 Colorful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45">
    <w:name w:val="List Table 6 Colorful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46">
    <w:name w:val="List Table 6 Colorful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47">
    <w:name w:val="List Table 6 Colorful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8">
    <w:name w:val="List Table 6 Colorful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9">
    <w:name w:val="List Table 6 Colorful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0">
    <w:name w:val="List Table 6 Colorful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1">
    <w:name w:val="List Table 7 Colorful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2">
    <w:name w:val="List Table 7 Colorful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53">
    <w:name w:val="List Table 7 Colorful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54">
    <w:name w:val="List Table 7 Colorful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55">
    <w:name w:val="List Table 7 Colorful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56">
    <w:name w:val="List Table 7 Colorful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57">
    <w:name w:val="List Table 7 Colorful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58">
    <w:name w:val="Lined - Accent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59">
    <w:name w:val="Lined - Accent 1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60">
    <w:name w:val="Lined - Accent 2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61">
    <w:name w:val="Lined - Accent 3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62">
    <w:name w:val="Lined - Accent 4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63">
    <w:name w:val="Lined - Accent 5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64">
    <w:name w:val="Lined - Accent 6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65">
    <w:name w:val="Bordered &amp; Lined - Accent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66">
    <w:name w:val="Bordered &amp; Lined - Accent 1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67">
    <w:name w:val="Bordered &amp; Lined - Accent 2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68">
    <w:name w:val="Bordered &amp; Lined - Accent 3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69">
    <w:name w:val="Bordered &amp; Lined - Accent 4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70">
    <w:name w:val="Bordered &amp; Lined - Accent 5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71">
    <w:name w:val="Bordered &amp; Lined - Accent 6"/>
    <w:basedOn w:val="14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72">
    <w:name w:val="Bordered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473">
    <w:name w:val="Bordered - Accent 1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474">
    <w:name w:val="Bordered - Accent 2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475">
    <w:name w:val="Bordered - Accent 3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476">
    <w:name w:val="Bordered - Accent 4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477">
    <w:name w:val="Bordered - Accent 5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478">
    <w:name w:val="Bordered - Accent 6"/>
    <w:basedOn w:val="14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479">
    <w:name w:val="Footnote Text Char"/>
    <w:link w:val="1502"/>
    <w:uiPriority w:val="99"/>
    <w:rPr>
      <w:sz w:val="18"/>
    </w:rPr>
  </w:style>
  <w:style w:type="paragraph" w:styleId="1480">
    <w:name w:val="endnote text"/>
    <w:basedOn w:val="1494"/>
    <w:link w:val="1481"/>
    <w:uiPriority w:val="99"/>
    <w:semiHidden/>
    <w:unhideWhenUsed/>
    <w:pPr>
      <w:spacing w:after="0" w:line="240" w:lineRule="auto"/>
    </w:pPr>
    <w:rPr>
      <w:sz w:val="20"/>
    </w:rPr>
  </w:style>
  <w:style w:type="character" w:styleId="1481">
    <w:name w:val="Endnote Text Char"/>
    <w:link w:val="1480"/>
    <w:uiPriority w:val="99"/>
    <w:rPr>
      <w:sz w:val="20"/>
    </w:rPr>
  </w:style>
  <w:style w:type="character" w:styleId="1482">
    <w:name w:val="endnote reference"/>
    <w:basedOn w:val="1495"/>
    <w:uiPriority w:val="99"/>
    <w:semiHidden/>
    <w:unhideWhenUsed/>
    <w:rPr>
      <w:vertAlign w:val="superscript"/>
    </w:rPr>
  </w:style>
  <w:style w:type="paragraph" w:styleId="1483">
    <w:name w:val="toc 1"/>
    <w:basedOn w:val="1494"/>
    <w:next w:val="1494"/>
    <w:uiPriority w:val="39"/>
    <w:unhideWhenUsed/>
    <w:pPr>
      <w:spacing w:after="57"/>
      <w:ind w:left="0" w:right="0" w:firstLine="0"/>
    </w:pPr>
  </w:style>
  <w:style w:type="paragraph" w:styleId="1484">
    <w:name w:val="toc 2"/>
    <w:basedOn w:val="1494"/>
    <w:next w:val="1494"/>
    <w:uiPriority w:val="39"/>
    <w:unhideWhenUsed/>
    <w:pPr>
      <w:spacing w:after="57"/>
      <w:ind w:left="283" w:right="0" w:firstLine="0"/>
    </w:pPr>
  </w:style>
  <w:style w:type="paragraph" w:styleId="1485">
    <w:name w:val="toc 3"/>
    <w:basedOn w:val="1494"/>
    <w:next w:val="1494"/>
    <w:uiPriority w:val="39"/>
    <w:unhideWhenUsed/>
    <w:pPr>
      <w:spacing w:after="57"/>
      <w:ind w:left="567" w:right="0" w:firstLine="0"/>
    </w:pPr>
  </w:style>
  <w:style w:type="paragraph" w:styleId="1486">
    <w:name w:val="toc 4"/>
    <w:basedOn w:val="1494"/>
    <w:next w:val="1494"/>
    <w:uiPriority w:val="39"/>
    <w:unhideWhenUsed/>
    <w:pPr>
      <w:spacing w:after="57"/>
      <w:ind w:left="850" w:right="0" w:firstLine="0"/>
    </w:pPr>
  </w:style>
  <w:style w:type="paragraph" w:styleId="1487">
    <w:name w:val="toc 5"/>
    <w:basedOn w:val="1494"/>
    <w:next w:val="1494"/>
    <w:uiPriority w:val="39"/>
    <w:unhideWhenUsed/>
    <w:pPr>
      <w:spacing w:after="57"/>
      <w:ind w:left="1134" w:right="0" w:firstLine="0"/>
    </w:pPr>
  </w:style>
  <w:style w:type="paragraph" w:styleId="1488">
    <w:name w:val="toc 6"/>
    <w:basedOn w:val="1494"/>
    <w:next w:val="1494"/>
    <w:uiPriority w:val="39"/>
    <w:unhideWhenUsed/>
    <w:pPr>
      <w:spacing w:after="57"/>
      <w:ind w:left="1417" w:right="0" w:firstLine="0"/>
    </w:pPr>
  </w:style>
  <w:style w:type="paragraph" w:styleId="1489">
    <w:name w:val="toc 7"/>
    <w:basedOn w:val="1494"/>
    <w:next w:val="1494"/>
    <w:uiPriority w:val="39"/>
    <w:unhideWhenUsed/>
    <w:pPr>
      <w:spacing w:after="57"/>
      <w:ind w:left="1701" w:right="0" w:firstLine="0"/>
    </w:pPr>
  </w:style>
  <w:style w:type="paragraph" w:styleId="1490">
    <w:name w:val="toc 8"/>
    <w:basedOn w:val="1494"/>
    <w:next w:val="1494"/>
    <w:uiPriority w:val="39"/>
    <w:unhideWhenUsed/>
    <w:pPr>
      <w:spacing w:after="57"/>
      <w:ind w:left="1984" w:right="0" w:firstLine="0"/>
    </w:pPr>
  </w:style>
  <w:style w:type="paragraph" w:styleId="1491">
    <w:name w:val="toc 9"/>
    <w:basedOn w:val="1494"/>
    <w:next w:val="1494"/>
    <w:uiPriority w:val="39"/>
    <w:unhideWhenUsed/>
    <w:pPr>
      <w:spacing w:after="57"/>
      <w:ind w:left="2268" w:right="0" w:firstLine="0"/>
    </w:pPr>
  </w:style>
  <w:style w:type="paragraph" w:styleId="1492">
    <w:name w:val="TOC Heading"/>
    <w:uiPriority w:val="39"/>
    <w:unhideWhenUsed/>
  </w:style>
  <w:style w:type="paragraph" w:styleId="1493">
    <w:name w:val="table of figures"/>
    <w:basedOn w:val="1494"/>
    <w:next w:val="1494"/>
    <w:uiPriority w:val="99"/>
    <w:unhideWhenUsed/>
    <w:pPr>
      <w:spacing w:after="0" w:afterAutospacing="0"/>
    </w:pPr>
  </w:style>
  <w:style w:type="paragraph" w:styleId="1494" w:default="1">
    <w:name w:val="Normal"/>
    <w:qFormat/>
  </w:style>
  <w:style w:type="character" w:styleId="1495" w:default="1">
    <w:name w:val="Default Paragraph Font"/>
    <w:uiPriority w:val="1"/>
    <w:semiHidden/>
    <w:unhideWhenUsed/>
  </w:style>
  <w:style w:type="table" w:styleId="14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97" w:default="1">
    <w:name w:val="No List"/>
    <w:uiPriority w:val="99"/>
    <w:semiHidden/>
    <w:unhideWhenUsed/>
  </w:style>
  <w:style w:type="character" w:styleId="1498">
    <w:name w:val="Hyperlink"/>
    <w:basedOn w:val="1495"/>
    <w:uiPriority w:val="99"/>
    <w:semiHidden/>
    <w:unhideWhenUsed/>
    <w:rPr>
      <w:color w:val="0000ff"/>
      <w:u w:val="single"/>
    </w:rPr>
  </w:style>
  <w:style w:type="paragraph" w:styleId="1499">
    <w:name w:val="HTML Preformatted"/>
    <w:basedOn w:val="1494"/>
    <w:link w:val="1500"/>
    <w:uiPriority w:val="99"/>
    <w:semiHidden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00" w:customStyle="1">
    <w:name w:val="Стандартный HTML Знак"/>
    <w:basedOn w:val="1495"/>
    <w:link w:val="1499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01">
    <w:name w:val="No Spacing"/>
    <w:uiPriority w:val="1"/>
    <w:qFormat/>
    <w:pPr>
      <w:spacing w:after="0" w:line="240" w:lineRule="auto"/>
    </w:pPr>
  </w:style>
  <w:style w:type="paragraph" w:styleId="1502">
    <w:name w:val="footnote text"/>
    <w:basedOn w:val="1494"/>
    <w:link w:val="1503"/>
    <w:uiPriority w:val="99"/>
    <w:unhideWhenUsed/>
    <w:pPr>
      <w:widowControl w:val="off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503" w:customStyle="1">
    <w:name w:val="Текст сноски Знак"/>
    <w:basedOn w:val="1495"/>
    <w:link w:val="150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504">
    <w:name w:val="footnote reference"/>
    <w:uiPriority w:val="99"/>
    <w:unhideWhenUsed/>
    <w:rPr>
      <w:vertAlign w:val="superscript"/>
    </w:rPr>
  </w:style>
  <w:style w:type="paragraph" w:styleId="1505">
    <w:name w:val="List Paragraph"/>
    <w:basedOn w:val="1494"/>
    <w:link w:val="1514"/>
    <w:qFormat/>
    <w:pPr>
      <w:ind w:left="720"/>
      <w:contextualSpacing/>
    </w:pPr>
  </w:style>
  <w:style w:type="character" w:styleId="1506">
    <w:name w:val="annotation reference"/>
    <w:basedOn w:val="1495"/>
    <w:uiPriority w:val="99"/>
    <w:semiHidden/>
    <w:unhideWhenUsed/>
    <w:rPr>
      <w:sz w:val="16"/>
      <w:szCs w:val="16"/>
    </w:rPr>
  </w:style>
  <w:style w:type="paragraph" w:styleId="1507">
    <w:name w:val="annotation text"/>
    <w:basedOn w:val="1494"/>
    <w:link w:val="150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508" w:customStyle="1">
    <w:name w:val="Текст примечания Знак"/>
    <w:basedOn w:val="1495"/>
    <w:link w:val="1507"/>
    <w:uiPriority w:val="99"/>
    <w:semiHidden/>
    <w:rPr>
      <w:sz w:val="20"/>
      <w:szCs w:val="20"/>
    </w:rPr>
  </w:style>
  <w:style w:type="paragraph" w:styleId="1509">
    <w:name w:val="annotation subject"/>
    <w:basedOn w:val="1507"/>
    <w:next w:val="1507"/>
    <w:link w:val="1510"/>
    <w:uiPriority w:val="99"/>
    <w:semiHidden/>
    <w:unhideWhenUsed/>
    <w:rPr>
      <w:b/>
      <w:bCs/>
    </w:rPr>
  </w:style>
  <w:style w:type="character" w:styleId="1510" w:customStyle="1">
    <w:name w:val="Тема примечания Знак"/>
    <w:basedOn w:val="1508"/>
    <w:link w:val="1509"/>
    <w:uiPriority w:val="99"/>
    <w:semiHidden/>
    <w:rPr>
      <w:b/>
      <w:bCs/>
      <w:sz w:val="20"/>
      <w:szCs w:val="20"/>
    </w:rPr>
  </w:style>
  <w:style w:type="paragraph" w:styleId="1511">
    <w:name w:val="Balloon Text"/>
    <w:basedOn w:val="1494"/>
    <w:link w:val="151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512" w:customStyle="1">
    <w:name w:val="Текст выноски Знак"/>
    <w:basedOn w:val="1495"/>
    <w:link w:val="1511"/>
    <w:uiPriority w:val="99"/>
    <w:semiHidden/>
    <w:rPr>
      <w:rFonts w:ascii="Segoe UI" w:hAnsi="Segoe UI" w:cs="Segoe UI"/>
      <w:sz w:val="18"/>
      <w:szCs w:val="18"/>
    </w:rPr>
  </w:style>
  <w:style w:type="paragraph" w:styleId="1513">
    <w:name w:val="Revision"/>
    <w:hidden/>
    <w:uiPriority w:val="99"/>
    <w:semiHidden/>
    <w:pPr>
      <w:spacing w:after="0" w:line="240" w:lineRule="auto"/>
    </w:pPr>
  </w:style>
  <w:style w:type="character" w:styleId="1514" w:customStyle="1">
    <w:name w:val="Абзац списка Знак"/>
    <w:link w:val="1505"/>
  </w:style>
  <w:style w:type="paragraph" w:styleId="1515" w:customStyle="1">
    <w:name w:val="ConsPlusNormal"/>
    <w:pPr>
      <w:widowControl w:val="off"/>
      <w:spacing w:after="0" w:line="240" w:lineRule="auto"/>
    </w:pPr>
    <w:rPr>
      <w:rFonts w:ascii="Arial" w:hAnsi="Arial" w:cs="Arial" w:eastAsiaTheme="minorEastAsia"/>
      <w:sz w:val="20"/>
      <w:lang w:eastAsia="ru-RU"/>
    </w:rPr>
  </w:style>
  <w:style w:type="paragraph" w:styleId="1516">
    <w:name w:val="Body Text"/>
    <w:basedOn w:val="1494"/>
    <w:link w:val="1517"/>
    <w:unhideWhenUsed/>
    <w:pPr>
      <w:widowControl w:val="off"/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517" w:customStyle="1">
    <w:name w:val="Основной текст Знак"/>
    <w:basedOn w:val="1495"/>
    <w:link w:val="151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18">
    <w:name w:val="Body Text Indent 3"/>
    <w:basedOn w:val="1494"/>
    <w:link w:val="1519"/>
    <w:uiPriority w:val="99"/>
    <w:unhideWhenUsed/>
    <w:pPr>
      <w:spacing w:after="120" w:line="259" w:lineRule="auto"/>
      <w:ind w:left="283"/>
    </w:pPr>
    <w:rPr>
      <w:sz w:val="16"/>
      <w:szCs w:val="16"/>
    </w:rPr>
  </w:style>
  <w:style w:type="character" w:styleId="1519" w:customStyle="1">
    <w:name w:val="Основной текст с отступом 3 Знак"/>
    <w:basedOn w:val="1495"/>
    <w:link w:val="1518"/>
    <w:uiPriority w:val="99"/>
    <w:rPr>
      <w:sz w:val="16"/>
      <w:szCs w:val="16"/>
    </w:rPr>
  </w:style>
  <w:style w:type="paragraph" w:styleId="1520" w:customStyle="1">
    <w:name w:val="L_A4_0.8*0.8"/>
    <w:basedOn w:val="1494"/>
    <w:pPr>
      <w:spacing w:before="120" w:after="0" w:line="240" w:lineRule="auto"/>
      <w:ind w:firstLine="720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1521" w:customStyle="1">
    <w:name w:val="Standard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Liberation Serif" w:hAnsi="Liberation Serif" w:eastAsia="Times New Roman" w:cs="Liberation Serif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nd=0891564C9C0328A92842D316DEA91759&amp;req=doc&amp;base=LAW&amp;n=348441&amp;dst=1599&amp;fld=134&amp;date=02.10.2020" TargetMode="External"/><Relationship Id="rId11" Type="http://schemas.openxmlformats.org/officeDocument/2006/relationships/hyperlink" Target="https://login.consultant.ru/link/?rnd=0891564C9C0328A92842D316DEA91759&amp;req=doc&amp;base=LAW&amp;n=358825&amp;REFFIELD=134&amp;REFDST=1578&amp;REFDOC=348441&amp;REFBASE=LAW&amp;stat=refcode%3D16876%3Bindex%3D3898&amp;date=02.10.20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DC3A2-E9F2-44AE-BCA8-8E2E42BA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machinskas-yd</cp:lastModifiedBy>
  <cp:revision>37</cp:revision>
  <dcterms:created xsi:type="dcterms:W3CDTF">2023-03-15T07:44:00Z</dcterms:created>
  <dcterms:modified xsi:type="dcterms:W3CDTF">2026-05-21T12:14:41Z</dcterms:modified>
</cp:coreProperties>
</file>